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FC58" w14:textId="3642ABE3" w:rsidR="00305123" w:rsidRPr="00A11E41" w:rsidRDefault="00603E44" w:rsidP="0030512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305123" w:rsidRPr="00A11E41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pl-PL"/>
          <w14:ligatures w14:val="none"/>
        </w:rPr>
        <w:t>Susza w uprawach rolnych</w:t>
      </w:r>
    </w:p>
    <w:p w14:paraId="7DE4BB45" w14:textId="50EB8B11" w:rsidR="00305123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Wójt Gminy Gronowo Elbląskie informuje, że wniosek o szacowanie szkód w gospodarstwie rolnym powstałych w wyniku wystąpienia suszy w 2023r.</w:t>
      </w:r>
      <w:r w:rsidR="00CF0D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(z wyjątkiem szkód w środkach trwałych) producenci rolni mają obowiązek składać za  pośrednictwem publicznej aplikacji „Zgłoś szkodę rolniczą” (wymagany profil zaufany, podpis kwalifikowany itp.). </w:t>
      </w:r>
      <w:r w:rsidR="00FD4C9E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Planowane uruchomienie aplikacji dla producentów rolnych to druga połowa lipca br. </w:t>
      </w:r>
      <w:r w:rsidR="000238C5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Aplikacja dostępna będzie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pod linkiem</w:t>
      </w:r>
      <w:hyperlink r:id="rId7" w:history="1">
        <w:r w:rsidR="00FD4C9E" w:rsidRPr="00A65746">
          <w:rPr>
            <w:rStyle w:val="Hipercze"/>
            <w:rFonts w:ascii="Arial" w:eastAsia="Times New Roman" w:hAnsi="Arial" w:cs="Arial"/>
            <w:color w:val="auto"/>
            <w:kern w:val="0"/>
            <w:lang w:eastAsia="pl-PL"/>
            <w14:ligatures w14:val="none"/>
          </w:rPr>
          <w:t>https://www.gov.pl/web/gov/zloz-wniosek-o-oszacowanie-spowodowanych-przez-susze-strat-w-uprawach-rolnych</w:t>
        </w:r>
      </w:hyperlink>
    </w:p>
    <w:p w14:paraId="4AF13748" w14:textId="31132936" w:rsidR="00305123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Szacowanie szkód przez publiczną aplikację pozostaje podstawowym  i obligatoryjnym narzędziem do szacowania szkód powstałych w wyniku suszy. </w:t>
      </w:r>
    </w:p>
    <w:p w14:paraId="22E2B0AE" w14:textId="028ACD48" w:rsidR="00305123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Jeżeli ocena skutków suszy czy innej klęski żywiołowej wyliczona w ww. aplikacji, nie będzie odpowiadać producentowi rolnemu, wówczas ma możliwość złożenia wniosku do tut. urzędu o oszacowanie szkód również przez komisję suszową</w:t>
      </w:r>
      <w:r w:rsidR="009C0295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E233E9" w:rsidRPr="00A65746">
        <w:rPr>
          <w:rFonts w:ascii="Arial" w:eastAsia="Times New Roman" w:hAnsi="Arial" w:cs="Arial"/>
          <w:kern w:val="0"/>
          <w:lang w:eastAsia="pl-PL"/>
          <w14:ligatures w14:val="none"/>
        </w:rPr>
        <w:t>w terminie umożliwiającym ich oszacowanie</w:t>
      </w:r>
      <w:r w:rsidR="00253A56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(o ile dana uprawa nie została skoszona)</w:t>
      </w:r>
      <w:r w:rsidR="00E233E9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nie później niż do 15 września roku wystąpienia szkody.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Warto jednak pamiętać, że oszacowanie szkód tylko przez komisję, </w:t>
      </w:r>
      <w:r w:rsidR="00A11E41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z pominięciem aplikacji suszowej, nie będzie uprawniało do uzyskania pomocy suszowej.</w:t>
      </w:r>
    </w:p>
    <w:p w14:paraId="6DA0CFC9" w14:textId="77777777" w:rsidR="00305123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Należy podkreślić, że złożenie wniosku przez rolnika o szacowanie szkód przez komisję, nie zwalina go z obowiązku złożenia wniosku przez publiczną aplikacje.</w:t>
      </w:r>
    </w:p>
    <w:p w14:paraId="4D504449" w14:textId="77777777" w:rsidR="00305123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>Wniosek złożony do komisji o przeprowadzenie lustracji musi uwzględniać wszystkie uprawy zgłoszone do ARiMR w ramach dopłat bezpośrednich w kampanii 2023 (do wniosku należy dołączyć ksero wniosku o dopłaty bezpośrednie).</w:t>
      </w:r>
      <w:r w:rsidRPr="00A657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</w:p>
    <w:p w14:paraId="02CA8080" w14:textId="77777777" w:rsidR="00C8737E" w:rsidRPr="00A65746" w:rsidRDefault="00305123" w:rsidP="0030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Zgodnie z przepisami komisja </w:t>
      </w:r>
      <w:r w:rsidR="00DB7CA0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winna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oszacować szkody </w:t>
      </w:r>
      <w:r w:rsidR="00DB7CA0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spowodowane przez suszę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dwóch miesięcy od dnia </w:t>
      </w:r>
      <w:r w:rsidR="00DB7CA0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złożenia wniosku przez producenta rolnego,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później niż do czasu zbioru plonu głównego danej uprawy albo jej likwidacji. </w:t>
      </w:r>
    </w:p>
    <w:p w14:paraId="3428B065" w14:textId="19521275" w:rsidR="00373D68" w:rsidRPr="00A65746" w:rsidRDefault="00DB7CA0" w:rsidP="00023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sporządza raport oszacowania szkód, a nie protokół. Raport oszacowania szkód </w:t>
      </w:r>
      <w:r w:rsidR="00A11E41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</w:t>
      </w:r>
      <w:r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danym gospodarstwie rolnym komisja składa za pomocą </w:t>
      </w:r>
      <w:r w:rsidR="00C8737E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publicznej aplikacji w terminie </w:t>
      </w:r>
      <w:r w:rsidR="00305123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60 dni od dnia oszacowania szkód </w:t>
      </w:r>
      <w:r w:rsidR="00C8737E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spowodowanych przez suszę </w:t>
      </w:r>
      <w:r w:rsidR="00305123" w:rsidRPr="00A65746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później niż do 15 października roku wystąpienia suszy oraz </w:t>
      </w:r>
      <w:r w:rsidR="00C8737E" w:rsidRPr="00A65746">
        <w:rPr>
          <w:rFonts w:ascii="Arial" w:eastAsia="Times New Roman" w:hAnsi="Arial" w:cs="Arial"/>
          <w:kern w:val="0"/>
          <w:lang w:eastAsia="pl-PL"/>
          <w14:ligatures w14:val="none"/>
        </w:rPr>
        <w:t>przekazuje uwierzytelniony przez członków komisji wydruk tego raportu wojewodzie właściwemu ze względu na miejsce powstania szkód.</w:t>
      </w:r>
    </w:p>
    <w:p w14:paraId="21C55E6A" w14:textId="77777777" w:rsidR="00AE68F4" w:rsidRPr="00373D68" w:rsidRDefault="00AE68F4" w:rsidP="00AE68F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373D68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Podstawa prawna:</w:t>
      </w:r>
    </w:p>
    <w:p w14:paraId="489E4A4C" w14:textId="224490F6" w:rsidR="000238C5" w:rsidRPr="00373D68" w:rsidRDefault="000238C5" w:rsidP="00AE68F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373D68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Rozporządzenie Rady Ministrów z dnia 13 lipca 2023r. zmieniające rozporządzenie w sprawie szczegółowego zakresu i sposobu realizacji niektórych zadań Agencji Restrukturyzacji i Modernizacji Rolnictwa (Dz. U.  z 2015r. poz. 187 z późn. zm.)  w zakresie szacowania w gospodarstwach rolnych szkód spowodowanych wystąpieniem w 2023r. suszy przez Komisje powołane zarządzeniem Wojewody Warmińsko-Mazurskiego z dnia 29 marca 20923r. </w:t>
      </w:r>
    </w:p>
    <w:p w14:paraId="5FCC4332" w14:textId="02C3F73C" w:rsidR="002B33F3" w:rsidRPr="00EA7501" w:rsidRDefault="002B33F3" w:rsidP="002B3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33F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Wniosek do pobrania ze strony internetowej:  </w:t>
      </w:r>
      <w:hyperlink r:id="rId8" w:history="1">
        <w:r w:rsidRPr="002B33F3">
          <w:rPr>
            <w:rStyle w:val="Hipercze"/>
            <w:rFonts w:ascii="Arial" w:hAnsi="Arial" w:cs="Arial"/>
            <w:color w:val="auto"/>
            <w:sz w:val="20"/>
            <w:szCs w:val="20"/>
          </w:rPr>
          <w:t>https://www.gov.pl/web/uw-warminsko-mazurski/procedury-dot-szacowania-szkod-w-rolnictwie-spowodowane-niekorzystnymi-zjawiskami-atmosferycznymi-w-2023</w:t>
        </w:r>
      </w:hyperlink>
      <w:r w:rsidR="00EA7501">
        <w:rPr>
          <w:rFonts w:ascii="Arial" w:hAnsi="Arial" w:cs="Arial"/>
          <w:sz w:val="20"/>
          <w:szCs w:val="20"/>
        </w:rPr>
        <w:t xml:space="preserve"> </w:t>
      </w:r>
      <w:r w:rsidRPr="002B33F3">
        <w:rPr>
          <w:rFonts w:ascii="Arial" w:hAnsi="Arial" w:cs="Arial"/>
          <w:sz w:val="20"/>
          <w:szCs w:val="20"/>
        </w:rPr>
        <w:t>(wzór nr 3 wniosku rolnika do gminy 2023r. – SUSZA)</w:t>
      </w:r>
    </w:p>
    <w:p w14:paraId="082B90B3" w14:textId="77777777" w:rsidR="002B33F3" w:rsidRDefault="002B33F3" w:rsidP="002B33F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8F456D9" w14:textId="77777777" w:rsidR="002B33F3" w:rsidRPr="002B33F3" w:rsidRDefault="002B33F3" w:rsidP="002B33F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140825501"/>
    </w:p>
    <w:bookmarkEnd w:id="0"/>
    <w:p w14:paraId="786D16AA" w14:textId="376599CA" w:rsidR="00305123" w:rsidRPr="00C8737E" w:rsidRDefault="00305123" w:rsidP="00C8737E">
      <w:pPr>
        <w:spacing w:after="0" w:line="240" w:lineRule="auto"/>
        <w:ind w:right="278"/>
        <w:jc w:val="both"/>
        <w:rPr>
          <w:rFonts w:ascii="Calibri" w:eastAsia="Times New Roman" w:hAnsi="Calibri" w:cs="Calibri"/>
          <w:color w:val="000000"/>
          <w:spacing w:val="4"/>
          <w:kern w:val="0"/>
          <w:sz w:val="16"/>
          <w:szCs w:val="16"/>
          <w:lang w:eastAsia="pl-PL"/>
          <w14:ligatures w14:val="none"/>
        </w:rPr>
      </w:pPr>
    </w:p>
    <w:sectPr w:rsidR="00305123" w:rsidRPr="00C873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1A87" w14:textId="77777777" w:rsidR="00B11F69" w:rsidRDefault="00B11F69" w:rsidP="00A11E41">
      <w:pPr>
        <w:spacing w:after="0" w:line="240" w:lineRule="auto"/>
      </w:pPr>
      <w:r>
        <w:separator/>
      </w:r>
    </w:p>
  </w:endnote>
  <w:endnote w:type="continuationSeparator" w:id="0">
    <w:p w14:paraId="00FC5580" w14:textId="77777777" w:rsidR="00B11F69" w:rsidRDefault="00B11F69" w:rsidP="00A1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3490" w14:textId="77777777" w:rsidR="00B11F69" w:rsidRDefault="00B11F69" w:rsidP="00A11E41">
      <w:pPr>
        <w:spacing w:after="0" w:line="240" w:lineRule="auto"/>
      </w:pPr>
      <w:r>
        <w:separator/>
      </w:r>
    </w:p>
  </w:footnote>
  <w:footnote w:type="continuationSeparator" w:id="0">
    <w:p w14:paraId="08AEEC15" w14:textId="77777777" w:rsidR="00B11F69" w:rsidRDefault="00B11F69" w:rsidP="00A1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B959" w14:textId="77777777" w:rsidR="00A11E41" w:rsidRDefault="00A11E41" w:rsidP="00A11E41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71522"/>
    <w:multiLevelType w:val="hybridMultilevel"/>
    <w:tmpl w:val="46D25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 w16cid:durableId="1058818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527562">
    <w:abstractNumId w:val="1"/>
  </w:num>
  <w:num w:numId="3" w16cid:durableId="1420516784">
    <w:abstractNumId w:val="0"/>
  </w:num>
  <w:num w:numId="4" w16cid:durableId="176037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3"/>
    <w:rsid w:val="000238C5"/>
    <w:rsid w:val="00253A56"/>
    <w:rsid w:val="002B33F3"/>
    <w:rsid w:val="00305123"/>
    <w:rsid w:val="00373D68"/>
    <w:rsid w:val="00603E44"/>
    <w:rsid w:val="00667080"/>
    <w:rsid w:val="009C0295"/>
    <w:rsid w:val="009E74D1"/>
    <w:rsid w:val="00A11E41"/>
    <w:rsid w:val="00A65746"/>
    <w:rsid w:val="00AE68F4"/>
    <w:rsid w:val="00B11F69"/>
    <w:rsid w:val="00C35E7D"/>
    <w:rsid w:val="00C8737E"/>
    <w:rsid w:val="00CC022D"/>
    <w:rsid w:val="00CF0D48"/>
    <w:rsid w:val="00D429F3"/>
    <w:rsid w:val="00DB7CA0"/>
    <w:rsid w:val="00E233E9"/>
    <w:rsid w:val="00EA7501"/>
    <w:rsid w:val="00F725B4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309A"/>
  <w15:chartTrackingRefBased/>
  <w15:docId w15:val="{89EF4A82-5E6F-4A59-9687-E5C8F64F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4C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C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1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E41"/>
  </w:style>
  <w:style w:type="paragraph" w:styleId="Stopka">
    <w:name w:val="footer"/>
    <w:basedOn w:val="Normalny"/>
    <w:link w:val="StopkaZnak"/>
    <w:uiPriority w:val="99"/>
    <w:unhideWhenUsed/>
    <w:rsid w:val="00A1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warminsko-mazurski/procedury-dot-szacowania-szkod-w-rolnictwie-spowodowane-niekorzystnymi-zjawiskami-atmosferycznymi-w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loz-wniosek-o-oszacowanie-spowodowanych-przez-susze-strat-w-uprawach-roln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14</cp:revision>
  <cp:lastPrinted>2023-07-24T07:00:00Z</cp:lastPrinted>
  <dcterms:created xsi:type="dcterms:W3CDTF">2023-07-20T09:28:00Z</dcterms:created>
  <dcterms:modified xsi:type="dcterms:W3CDTF">2023-07-24T07:00:00Z</dcterms:modified>
</cp:coreProperties>
</file>