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AA5" w:rsidRPr="005D2AA5" w:rsidRDefault="005D2AA5" w:rsidP="005D2AA5">
      <w:pPr>
        <w:spacing w:before="100" w:beforeAutospacing="1" w:after="100" w:afterAutospacing="1"/>
        <w:outlineLvl w:val="1"/>
        <w:rPr>
          <w:rFonts w:eastAsia="Times New Roman"/>
          <w:b/>
          <w:bCs/>
          <w:sz w:val="36"/>
          <w:szCs w:val="36"/>
          <w:lang w:eastAsia="pl-PL"/>
        </w:rPr>
      </w:pPr>
      <w:r w:rsidRPr="005D2AA5">
        <w:rPr>
          <w:rFonts w:eastAsia="Times New Roman"/>
          <w:b/>
          <w:bCs/>
          <w:sz w:val="36"/>
          <w:szCs w:val="36"/>
          <w:lang w:eastAsia="pl-PL"/>
        </w:rPr>
        <w:t xml:space="preserve">Informacje organizacyjne w sprawie wyboru ławników na kadencję 2024-2027 </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2023-04-26 </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Z końcem bieżącego roku upływa kadencja ławników orzekających w sądach powszechnych w kadencji 2020-2023. Powoduje to konieczność przeprowadzenia czynności zmierzających do naboru kandydatów na ławników na nową kadencję 2024-2027.</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Zgodnie z treścią art. 160 § 1 i 2 Ustawy z dnia 27 lipca 2001 r. - Prawo o ustroju sądów powszechnych (Dz. U. 2020, poz. 213 – tekst jednolity), zwanej dalej Ustawą, ławników wybierają rady gmin, których obszar właściwości jest objęty właściwością tych sądów, w głosowaniu tajnym jako zadanie zlecone z zakresu administracji rządowej.</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Liczbę ławników wybieranych przez poszczególne rady gmin dla wszystkich sądów działających </w:t>
      </w:r>
      <w:hyperlink r:id="rId5" w:tooltip="Właściwość miejscowa i rzeczowa Sądu Okręgowego w Gdańsku" w:history="1">
        <w:r w:rsidRPr="005D2AA5">
          <w:rPr>
            <w:rFonts w:eastAsia="Times New Roman"/>
            <w:color w:val="0000FF"/>
            <w:u w:val="single"/>
            <w:lang w:eastAsia="pl-PL"/>
          </w:rPr>
          <w:t>na obszarze właściwości sądu okręgowego</w:t>
        </w:r>
      </w:hyperlink>
      <w:r w:rsidRPr="005D2AA5">
        <w:rPr>
          <w:rFonts w:eastAsia="Times New Roman"/>
          <w:lang w:eastAsia="pl-PL"/>
        </w:rPr>
        <w:t xml:space="preserve"> ustala kolegium sądu okręgowego (art. 161 § 1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b/>
          <w:bCs/>
          <w:lang w:eastAsia="pl-PL"/>
        </w:rPr>
        <w:t>Wszelkie informacje dotyczące pełnienia obowiązków ławników znajdują się w art. 158-175 Rozdziału 7 Ustawy. Poniżej podajemy najważniejsze informacje organizacyjne dla osób zainteresowanych ubieganiem się o wybór (lub ponowny wybór) na ławnika.</w:t>
      </w:r>
    </w:p>
    <w:p w:rsidR="005D2AA5" w:rsidRPr="005D2AA5" w:rsidRDefault="005D2AA5" w:rsidP="005D2AA5">
      <w:pPr>
        <w:spacing w:before="100" w:beforeAutospacing="1" w:after="100" w:afterAutospacing="1"/>
        <w:outlineLvl w:val="4"/>
        <w:rPr>
          <w:rFonts w:eastAsia="Times New Roman"/>
          <w:b/>
          <w:bCs/>
          <w:sz w:val="20"/>
          <w:szCs w:val="20"/>
          <w:lang w:eastAsia="pl-PL"/>
        </w:rPr>
      </w:pPr>
      <w:r w:rsidRPr="005D2AA5">
        <w:rPr>
          <w:rFonts w:eastAsia="Times New Roman"/>
          <w:b/>
          <w:bCs/>
          <w:sz w:val="20"/>
          <w:szCs w:val="20"/>
          <w:lang w:eastAsia="pl-PL"/>
        </w:rPr>
        <w:t>Kalendarz wyborczy:</w:t>
      </w:r>
    </w:p>
    <w:p w:rsidR="005D2AA5" w:rsidRPr="005D2AA5" w:rsidRDefault="005D2AA5" w:rsidP="005D2AA5">
      <w:pPr>
        <w:numPr>
          <w:ilvl w:val="0"/>
          <w:numId w:val="1"/>
        </w:numPr>
        <w:spacing w:before="100" w:beforeAutospacing="1" w:after="100" w:afterAutospacing="1"/>
        <w:rPr>
          <w:rFonts w:eastAsia="Times New Roman"/>
          <w:lang w:eastAsia="pl-PL"/>
        </w:rPr>
      </w:pPr>
      <w:r w:rsidRPr="005D2AA5">
        <w:rPr>
          <w:rFonts w:eastAsia="Times New Roman"/>
          <w:b/>
          <w:bCs/>
          <w:lang w:eastAsia="pl-PL"/>
        </w:rPr>
        <w:t>do dnia 31 maja 2023 r.</w:t>
      </w:r>
      <w:r w:rsidRPr="005D2AA5">
        <w:rPr>
          <w:rFonts w:eastAsia="Times New Roman"/>
          <w:lang w:eastAsia="pl-PL"/>
        </w:rPr>
        <w:t xml:space="preserve"> prezes sądu okręgowego podaje do wiadomości poszczególnym radom gmin liczbę wybieranych przez nie ławników (art. 161 § 2 Ustawy),</w:t>
      </w:r>
    </w:p>
    <w:p w:rsidR="005D2AA5" w:rsidRPr="005D2AA5" w:rsidRDefault="005D2AA5" w:rsidP="005D2AA5">
      <w:pPr>
        <w:numPr>
          <w:ilvl w:val="0"/>
          <w:numId w:val="1"/>
        </w:numPr>
        <w:spacing w:before="100" w:beforeAutospacing="1" w:after="100" w:afterAutospacing="1"/>
        <w:rPr>
          <w:rFonts w:eastAsia="Times New Roman"/>
          <w:lang w:eastAsia="pl-PL"/>
        </w:rPr>
      </w:pPr>
      <w:r w:rsidRPr="005D2AA5">
        <w:rPr>
          <w:rFonts w:eastAsia="Times New Roman"/>
          <w:b/>
          <w:bCs/>
          <w:lang w:eastAsia="pl-PL"/>
        </w:rPr>
        <w:t>do dnia 30 czerwca 2023 r.</w:t>
      </w:r>
      <w:r w:rsidRPr="005D2AA5">
        <w:rPr>
          <w:rFonts w:eastAsia="Times New Roman"/>
          <w:lang w:eastAsia="pl-PL"/>
        </w:rPr>
        <w:t xml:space="preserve"> uprawnione podmioty mogą zgłaszać radom gmin kandydatów na ławników (art. 162 § 1 Ustawy),</w:t>
      </w:r>
    </w:p>
    <w:p w:rsidR="005D2AA5" w:rsidRPr="005D2AA5" w:rsidRDefault="005D2AA5" w:rsidP="005D2AA5">
      <w:pPr>
        <w:numPr>
          <w:ilvl w:val="0"/>
          <w:numId w:val="1"/>
        </w:numPr>
        <w:spacing w:before="100" w:beforeAutospacing="1" w:after="100" w:afterAutospacing="1"/>
        <w:rPr>
          <w:rFonts w:eastAsia="Times New Roman"/>
          <w:lang w:eastAsia="pl-PL"/>
        </w:rPr>
      </w:pPr>
      <w:r w:rsidRPr="005D2AA5">
        <w:rPr>
          <w:rFonts w:eastAsia="Times New Roman"/>
          <w:b/>
          <w:bCs/>
          <w:lang w:eastAsia="pl-PL"/>
        </w:rPr>
        <w:t>najpóźniej w październiku 2023 r.</w:t>
      </w:r>
      <w:r w:rsidRPr="005D2AA5">
        <w:rPr>
          <w:rFonts w:eastAsia="Times New Roman"/>
          <w:lang w:eastAsia="pl-PL"/>
        </w:rPr>
        <w:t xml:space="preserve"> odbywają się wybory ławników (art. 163 § 1 Ustawy),</w:t>
      </w:r>
    </w:p>
    <w:p w:rsidR="005D2AA5" w:rsidRPr="005D2AA5" w:rsidRDefault="005D2AA5" w:rsidP="005D2AA5">
      <w:pPr>
        <w:numPr>
          <w:ilvl w:val="0"/>
          <w:numId w:val="1"/>
        </w:numPr>
        <w:spacing w:before="100" w:beforeAutospacing="1" w:after="100" w:afterAutospacing="1"/>
        <w:rPr>
          <w:rFonts w:eastAsia="Times New Roman"/>
          <w:lang w:eastAsia="pl-PL"/>
        </w:rPr>
      </w:pPr>
      <w:r w:rsidRPr="005D2AA5">
        <w:rPr>
          <w:rFonts w:eastAsia="Times New Roman"/>
          <w:b/>
          <w:bCs/>
          <w:lang w:eastAsia="pl-PL"/>
        </w:rPr>
        <w:t>do dnia 31 października 2023 r.</w:t>
      </w:r>
      <w:r w:rsidRPr="005D2AA5">
        <w:rPr>
          <w:rFonts w:eastAsia="Times New Roman"/>
          <w:lang w:eastAsia="pl-PL"/>
        </w:rPr>
        <w:t xml:space="preserve"> rady gminy przesyłają prezesom właściwych sądów listę wybranych ławników wraz z dokumentami, o których mowa w art. 162 § 2-4 Ustawy (art. 164 § 1 Ustawy),</w:t>
      </w:r>
    </w:p>
    <w:p w:rsidR="005D2AA5" w:rsidRPr="005D2AA5" w:rsidRDefault="005D2AA5" w:rsidP="005D2AA5">
      <w:pPr>
        <w:numPr>
          <w:ilvl w:val="0"/>
          <w:numId w:val="1"/>
        </w:numPr>
        <w:spacing w:before="100" w:beforeAutospacing="1" w:after="100" w:afterAutospacing="1"/>
        <w:rPr>
          <w:rFonts w:eastAsia="Times New Roman"/>
          <w:lang w:eastAsia="pl-PL"/>
        </w:rPr>
      </w:pPr>
      <w:r w:rsidRPr="005D2AA5">
        <w:rPr>
          <w:rFonts w:eastAsia="Times New Roman"/>
          <w:b/>
          <w:bCs/>
          <w:lang w:eastAsia="pl-PL"/>
        </w:rPr>
        <w:t>do dnia 31 grudnia 2023 r.</w:t>
      </w:r>
      <w:r w:rsidRPr="005D2AA5">
        <w:rPr>
          <w:rFonts w:eastAsia="Times New Roman"/>
          <w:lang w:eastAsia="pl-PL"/>
        </w:rPr>
        <w:t xml:space="preserve"> prezes właściwego sądu wręcza ławnikom zawiadomienie o wyborze, odbiera od nich ślubowanie, wpisuje na listę ławników, którzy mogą być wyznaczani do orzekania oraz wydaje legitymację (art. 164 § 2 i 3 Ustawy).</w:t>
      </w:r>
    </w:p>
    <w:p w:rsidR="005D2AA5" w:rsidRPr="005D2AA5" w:rsidRDefault="005D2AA5" w:rsidP="005D2AA5">
      <w:pPr>
        <w:spacing w:before="100" w:beforeAutospacing="1" w:after="100" w:afterAutospacing="1"/>
        <w:outlineLvl w:val="4"/>
        <w:rPr>
          <w:rFonts w:eastAsia="Times New Roman"/>
          <w:b/>
          <w:bCs/>
          <w:sz w:val="20"/>
          <w:szCs w:val="20"/>
          <w:lang w:eastAsia="pl-PL"/>
        </w:rPr>
      </w:pPr>
      <w:r w:rsidRPr="005D2AA5">
        <w:rPr>
          <w:rFonts w:eastAsia="Times New Roman"/>
          <w:b/>
          <w:bCs/>
          <w:sz w:val="20"/>
          <w:szCs w:val="20"/>
          <w:lang w:eastAsia="pl-PL"/>
        </w:rPr>
        <w:t>Tryb zgłaszania kandydatów na ławników</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Zgodnie z art. 162 § 1 Ustawy kandydatów na ławników do sądów okręgowych i rejonowych mogą zgłaszać radom gminy prezesi właściwych sądów, stowarzyszenia, inne organizacje społeczne i zawodowe, zarejestrowane na podstawie przepisów prawa (z wyłączeniem partii politycznych) oraz co najmniej 50 (pięćdziesięciu) obywateli mających czynne prawo wyborcze, zamieszkujących stale na terenie gminy dokonującej wyboru.</w:t>
      </w:r>
    </w:p>
    <w:p w:rsidR="005D2AA5" w:rsidRPr="005D2AA5" w:rsidRDefault="005D2AA5" w:rsidP="005D2AA5">
      <w:pPr>
        <w:spacing w:before="100" w:beforeAutospacing="1" w:after="100" w:afterAutospacing="1"/>
        <w:outlineLvl w:val="4"/>
        <w:rPr>
          <w:rFonts w:eastAsia="Times New Roman"/>
          <w:b/>
          <w:bCs/>
          <w:sz w:val="20"/>
          <w:szCs w:val="20"/>
          <w:lang w:eastAsia="pl-PL"/>
        </w:rPr>
      </w:pPr>
      <w:r w:rsidRPr="005D2AA5">
        <w:rPr>
          <w:rFonts w:eastAsia="Times New Roman"/>
          <w:b/>
          <w:bCs/>
          <w:sz w:val="20"/>
          <w:szCs w:val="20"/>
          <w:lang w:eastAsia="pl-PL"/>
        </w:rPr>
        <w:t>Wymagania na stanowisku ławnika (art. 158 § 1 i 3 Ustawy)</w:t>
      </w:r>
    </w:p>
    <w:p w:rsidR="005D2AA5" w:rsidRPr="005D2AA5" w:rsidRDefault="005D2AA5" w:rsidP="005D2AA5">
      <w:pPr>
        <w:spacing w:before="100" w:beforeAutospacing="1" w:after="100" w:afterAutospacing="1"/>
        <w:outlineLvl w:val="5"/>
        <w:rPr>
          <w:rFonts w:eastAsia="Times New Roman"/>
          <w:b/>
          <w:bCs/>
          <w:sz w:val="15"/>
          <w:szCs w:val="15"/>
          <w:lang w:eastAsia="pl-PL"/>
        </w:rPr>
      </w:pPr>
      <w:r w:rsidRPr="005D2AA5">
        <w:rPr>
          <w:rFonts w:eastAsia="Times New Roman"/>
          <w:b/>
          <w:bCs/>
          <w:sz w:val="15"/>
          <w:szCs w:val="15"/>
          <w:lang w:eastAsia="pl-PL"/>
        </w:rPr>
        <w:t>Ławnikiem może być wybrany ten, kto:</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lastRenderedPageBreak/>
        <w:t>posiada obywatelstwo polskie i korzysta z pełni praw cywilnych i obywatelskich;</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t>jest nieskazitelnego charakteru;</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t>ukończył 30 lat;</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t>jest zatrudniony, prowadzi działalność gospodarczą lub mieszka w miejscu kandydowania co najmniej od roku;</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t>nie przekroczył 70 lat;</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t>jest zdolny, ze względu na stan zdrowia, do pełnienia obowiązków ławnika;</w:t>
      </w:r>
    </w:p>
    <w:p w:rsidR="005D2AA5" w:rsidRPr="005D2AA5" w:rsidRDefault="005D2AA5" w:rsidP="005D2AA5">
      <w:pPr>
        <w:numPr>
          <w:ilvl w:val="0"/>
          <w:numId w:val="2"/>
        </w:numPr>
        <w:spacing w:before="100" w:beforeAutospacing="1" w:after="100" w:afterAutospacing="1"/>
        <w:rPr>
          <w:rFonts w:eastAsia="Times New Roman"/>
          <w:lang w:eastAsia="pl-PL"/>
        </w:rPr>
      </w:pPr>
      <w:r w:rsidRPr="005D2AA5">
        <w:rPr>
          <w:rFonts w:eastAsia="Times New Roman"/>
          <w:lang w:eastAsia="pl-PL"/>
        </w:rPr>
        <w:t>posiada co najmniej wykształcenie średnie lub średnie branżowe.</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b/>
          <w:bCs/>
          <w:lang w:eastAsia="pl-PL"/>
        </w:rPr>
        <w:t>Do orzekania w sprawach z zakresu prawa pracy ławnikiem powinna być wybrana osoba wykazująca szczególną znajomość spraw pracowniczych.</w:t>
      </w:r>
    </w:p>
    <w:p w:rsidR="005D2AA5" w:rsidRPr="005D2AA5" w:rsidRDefault="005D2AA5" w:rsidP="005D2AA5">
      <w:pPr>
        <w:spacing w:before="100" w:beforeAutospacing="1" w:after="100" w:afterAutospacing="1"/>
        <w:outlineLvl w:val="5"/>
        <w:rPr>
          <w:rFonts w:eastAsia="Times New Roman"/>
          <w:b/>
          <w:bCs/>
          <w:sz w:val="15"/>
          <w:szCs w:val="15"/>
          <w:lang w:eastAsia="pl-PL"/>
        </w:rPr>
      </w:pPr>
      <w:r w:rsidRPr="005D2AA5">
        <w:rPr>
          <w:rFonts w:eastAsia="Times New Roman"/>
          <w:b/>
          <w:bCs/>
          <w:sz w:val="15"/>
          <w:szCs w:val="15"/>
          <w:lang w:eastAsia="pl-PL"/>
        </w:rPr>
        <w:t>Ławnikami nie mogą być (art. 158 § 1 i 2 Ustawy):</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osoby zatrudnione w sądach powszechnych i innych sądach oraz w prokuraturze;</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osoby wchodzące w skład organów, od których orzeczenia można żądać skierowania sprawy na drogę postępowania sądowego;</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funkcjonariusze Policji oraz inne osoby zajmujące stanowiska związane ze ściganiem przestępstw i wykroczeń;</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adwokaci i aplikanci adwokaccy;</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radcy prawni i aplikanci radcowscy;</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duchowni;</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żołnierze w czynnej służbie wojskowej;</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funkcjonariusze Służby Więziennej;</w:t>
      </w:r>
    </w:p>
    <w:p w:rsidR="005D2AA5" w:rsidRPr="005D2AA5" w:rsidRDefault="005D2AA5" w:rsidP="005D2AA5">
      <w:pPr>
        <w:numPr>
          <w:ilvl w:val="0"/>
          <w:numId w:val="3"/>
        </w:numPr>
        <w:spacing w:before="100" w:beforeAutospacing="1" w:after="100" w:afterAutospacing="1"/>
        <w:rPr>
          <w:rFonts w:eastAsia="Times New Roman"/>
          <w:lang w:eastAsia="pl-PL"/>
        </w:rPr>
      </w:pPr>
      <w:r w:rsidRPr="005D2AA5">
        <w:rPr>
          <w:rFonts w:eastAsia="Times New Roman"/>
          <w:lang w:eastAsia="pl-PL"/>
        </w:rPr>
        <w:t>radni gminy, powiatu i województwa.</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b/>
          <w:bCs/>
          <w:lang w:eastAsia="pl-PL"/>
        </w:rPr>
        <w:t>Nie można być ławnikiem jednocześnie w więcej niż jednym sądzie.</w:t>
      </w:r>
    </w:p>
    <w:p w:rsidR="005D2AA5" w:rsidRPr="005D2AA5" w:rsidRDefault="005D2AA5" w:rsidP="005D2AA5">
      <w:pPr>
        <w:spacing w:before="100" w:beforeAutospacing="1" w:after="100" w:afterAutospacing="1"/>
        <w:outlineLvl w:val="4"/>
        <w:rPr>
          <w:rFonts w:eastAsia="Times New Roman"/>
          <w:b/>
          <w:bCs/>
          <w:sz w:val="20"/>
          <w:szCs w:val="20"/>
          <w:lang w:eastAsia="pl-PL"/>
        </w:rPr>
      </w:pPr>
      <w:r w:rsidRPr="005D2AA5">
        <w:rPr>
          <w:rFonts w:eastAsia="Times New Roman"/>
          <w:b/>
          <w:bCs/>
          <w:sz w:val="20"/>
          <w:szCs w:val="20"/>
          <w:lang w:eastAsia="pl-PL"/>
        </w:rPr>
        <w:t>Karta zgłoszenia kandydata na ławnika</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Jak wynika z § 2 ust. 1 Rozporządzenia Ministra Sprawiedliwości z dnia 9 czerwca 2011 r. w sprawie sposobu postępowania z dokumentami złożonymi radom gminy przy zgłaszaniu kandydatów na ławników oraz wzoru karty zgłoszenia (Dz. U. Nr 121, poz. 693 ze zm.), zgłoszenia kandydatów na ławników dokonuje się na karcie zgłoszenia, do której załącza się dokumenty o których mowa w art. 162 § 2-4 Ustawy. Lista dokumentów została wymieniona niżej.</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Karta zgłoszenia kandydata na ławnika, która stanowi załącznik do rozporządzenia, umożliwia uzyskanie jednolitych, wszechstronnych informacji o kandydacie przez wszystkie organy weryfikujące zgłoszenia. Informacje zawarte w karcie zgłoszenia są również wykorzystywane przez administrację sądu.</w:t>
      </w:r>
    </w:p>
    <w:p w:rsidR="005D2AA5" w:rsidRPr="005D2AA5" w:rsidRDefault="005D2AA5" w:rsidP="005D2AA5">
      <w:pPr>
        <w:spacing w:before="100" w:beforeAutospacing="1" w:after="100" w:afterAutospacing="1"/>
        <w:rPr>
          <w:rFonts w:eastAsia="Times New Roman"/>
          <w:lang w:eastAsia="pl-PL"/>
        </w:rPr>
      </w:pPr>
      <w:hyperlink r:id="rId6" w:tooltip="Karta zgłoszenia kandydata na ławnika (wersja edytowalna)" w:history="1">
        <w:r w:rsidRPr="005D2AA5">
          <w:rPr>
            <w:rFonts w:eastAsia="Times New Roman"/>
            <w:color w:val="0000FF"/>
            <w:u w:val="single"/>
            <w:lang w:eastAsia="pl-PL"/>
          </w:rPr>
          <w:t>Pobierz kartę zgłoszenia.</w:t>
        </w:r>
      </w:hyperlink>
    </w:p>
    <w:p w:rsidR="005D2AA5" w:rsidRPr="005D2AA5" w:rsidRDefault="005D2AA5" w:rsidP="005D2AA5">
      <w:pPr>
        <w:spacing w:before="100" w:beforeAutospacing="1" w:after="100" w:afterAutospacing="1"/>
        <w:outlineLvl w:val="5"/>
        <w:rPr>
          <w:rFonts w:eastAsia="Times New Roman"/>
          <w:b/>
          <w:bCs/>
          <w:sz w:val="15"/>
          <w:szCs w:val="15"/>
          <w:lang w:eastAsia="pl-PL"/>
        </w:rPr>
      </w:pPr>
      <w:r w:rsidRPr="005D2AA5">
        <w:rPr>
          <w:rFonts w:eastAsia="Times New Roman"/>
          <w:b/>
          <w:bCs/>
          <w:sz w:val="15"/>
          <w:szCs w:val="15"/>
          <w:lang w:eastAsia="pl-PL"/>
        </w:rPr>
        <w:t>Karta zgłoszenia składa się z trzech części:</w:t>
      </w:r>
    </w:p>
    <w:p w:rsidR="005D2AA5" w:rsidRPr="005D2AA5" w:rsidRDefault="005D2AA5" w:rsidP="005D2AA5">
      <w:pPr>
        <w:numPr>
          <w:ilvl w:val="0"/>
          <w:numId w:val="4"/>
        </w:numPr>
        <w:spacing w:before="100" w:beforeAutospacing="1" w:after="100" w:afterAutospacing="1"/>
        <w:rPr>
          <w:rFonts w:eastAsia="Times New Roman"/>
          <w:lang w:eastAsia="pl-PL"/>
        </w:rPr>
      </w:pPr>
      <w:r w:rsidRPr="005D2AA5">
        <w:rPr>
          <w:rFonts w:eastAsia="Times New Roman"/>
          <w:b/>
          <w:bCs/>
          <w:lang w:eastAsia="pl-PL"/>
        </w:rPr>
        <w:t>Część A</w:t>
      </w:r>
      <w:r w:rsidRPr="005D2AA5">
        <w:rPr>
          <w:rFonts w:eastAsia="Times New Roman"/>
          <w:lang w:eastAsia="pl-PL"/>
        </w:rPr>
        <w:t xml:space="preserve"> – wypełniana jest przez kandydata poprzez wpisanie właściwej gminy (zgodnie z art. 158 § 1 pkt 4 Ustawy).</w:t>
      </w:r>
    </w:p>
    <w:p w:rsidR="005D2AA5" w:rsidRPr="005D2AA5" w:rsidRDefault="005D2AA5" w:rsidP="005D2AA5">
      <w:pPr>
        <w:numPr>
          <w:ilvl w:val="0"/>
          <w:numId w:val="4"/>
        </w:numPr>
        <w:spacing w:before="100" w:beforeAutospacing="1" w:after="100" w:afterAutospacing="1"/>
        <w:rPr>
          <w:rFonts w:eastAsia="Times New Roman"/>
          <w:lang w:eastAsia="pl-PL"/>
        </w:rPr>
      </w:pPr>
      <w:r w:rsidRPr="005D2AA5">
        <w:rPr>
          <w:rFonts w:eastAsia="Times New Roman"/>
          <w:b/>
          <w:bCs/>
          <w:lang w:eastAsia="pl-PL"/>
        </w:rPr>
        <w:t>Część B</w:t>
      </w:r>
      <w:r w:rsidRPr="005D2AA5">
        <w:rPr>
          <w:rFonts w:eastAsia="Times New Roman"/>
          <w:lang w:eastAsia="pl-PL"/>
        </w:rPr>
        <w:t xml:space="preserve"> – wypełniana przez kandydata – obejmuje dane personalne i teleadresowe oraz inne istotne informacje o kandydacie (m.in. status zawodowy, doświadczenie w pracy społecznej, motywy kandydowania na ławnika, informacja o pełnieniu funkcji </w:t>
      </w:r>
      <w:r w:rsidRPr="005D2AA5">
        <w:rPr>
          <w:rFonts w:eastAsia="Times New Roman"/>
          <w:lang w:eastAsia="pl-PL"/>
        </w:rPr>
        <w:lastRenderedPageBreak/>
        <w:t>ławnika w poprzednich kadencjach). W części tej kandydat wskazuje również, do orzekania w którym sądzie jest proponowany (w sądzie rejonowym lub okręgowym) oraz czy jest proponowany do orzekania w sprawach z zakresu prawa pracy (jeśli tak, to dodatkowo wpisuje zwięzłe uzasadnienie potwierdzające szczególną znajomość praw pracowniczych).</w:t>
      </w:r>
    </w:p>
    <w:p w:rsidR="005D2AA5" w:rsidRPr="005D2AA5" w:rsidRDefault="005D2AA5" w:rsidP="005D2AA5">
      <w:pPr>
        <w:numPr>
          <w:ilvl w:val="0"/>
          <w:numId w:val="4"/>
        </w:numPr>
        <w:spacing w:before="100" w:beforeAutospacing="1" w:after="100" w:afterAutospacing="1"/>
        <w:rPr>
          <w:rFonts w:eastAsia="Times New Roman"/>
          <w:lang w:eastAsia="pl-PL"/>
        </w:rPr>
      </w:pPr>
      <w:r w:rsidRPr="005D2AA5">
        <w:rPr>
          <w:rFonts w:eastAsia="Times New Roman"/>
          <w:b/>
          <w:bCs/>
          <w:lang w:eastAsia="pl-PL"/>
        </w:rPr>
        <w:t>Część C</w:t>
      </w:r>
      <w:r w:rsidRPr="005D2AA5">
        <w:rPr>
          <w:rFonts w:eastAsia="Times New Roman"/>
          <w:lang w:eastAsia="pl-PL"/>
        </w:rPr>
        <w:t xml:space="preserve"> – wypełniana przez przedstawiciela podmiotu zgłaszającego kandydata – obejmuje dane podmiotu zgłaszającego i osoby go reprezentującej. Prezes sądu zgłaszający kandydata wypełnia w tej części tylko rubrykę nr 1.</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Zgodnie ze stanowiskiem Ministerstwa Sprawiedliwości podstawę przetwarzania danych kandydata stanowi art. 6 ust. 1 lit. c i e ogólnego rozporządzenia o ochronie danych (RODO), a dobrowolne przekazanie w karcie zgłoszenia na ławnika niezbędnych danych osobowych, a tym samym zainicjowanie z własnej woli procesu leżącego w interesie publicznym i dalsze prowadzenie postępowania przez organy władzy publicznej powoduje, że nie ma potrzeby składania przez kandydata dodatkowego oświadczenia o wyrażeniu zgody na przetwarzanie danych osobowych.</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W karcie zgłoszenia znajduje się pouczenie, że zgłoszenie, które wpłynęło do rady gminy po upływie terminu określonego w art. 162 § 1 Ustawy lub niespełniające wymagań formalnych, o których mowa w art. 162 § 2-5 Ustawy i rozporządzeniu, pozostawia się bez dalszego biegu. </w:t>
      </w:r>
      <w:r w:rsidRPr="005D2AA5">
        <w:rPr>
          <w:rFonts w:eastAsia="Times New Roman"/>
          <w:b/>
          <w:bCs/>
          <w:lang w:eastAsia="pl-PL"/>
        </w:rPr>
        <w:t>Termin do zgłoszenia kandydata nie podlega przywróceniu.</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Kartę zgłoszenia wraz z załącznikami podmiot zgłaszający kandydata na ławnika lub kandydat, który nie został wybrany na ławnika, powinien odebrać </w:t>
      </w:r>
      <w:r w:rsidRPr="005D2AA5">
        <w:rPr>
          <w:rFonts w:eastAsia="Times New Roman"/>
          <w:b/>
          <w:bCs/>
          <w:lang w:eastAsia="pl-PL"/>
        </w:rPr>
        <w:t>w nieprzekraczalnym terminie 60 (sześćdziesięciu) dni od dnia przeprowadzenia wyborów</w:t>
      </w:r>
      <w:r w:rsidRPr="005D2AA5">
        <w:rPr>
          <w:rFonts w:eastAsia="Times New Roman"/>
          <w:lang w:eastAsia="pl-PL"/>
        </w:rPr>
        <w:t xml:space="preserve">. W przypadku nieodebrania dokumentów zostaną one zniszczone </w:t>
      </w:r>
      <w:r w:rsidRPr="005D2AA5">
        <w:rPr>
          <w:rFonts w:eastAsia="Times New Roman"/>
          <w:b/>
          <w:bCs/>
          <w:lang w:eastAsia="pl-PL"/>
        </w:rPr>
        <w:t>w terminie 30 (trzydziestu) dni</w:t>
      </w:r>
      <w:r w:rsidRPr="005D2AA5">
        <w:rPr>
          <w:rFonts w:eastAsia="Times New Roman"/>
          <w:lang w:eastAsia="pl-PL"/>
        </w:rPr>
        <w:t>.</w:t>
      </w:r>
    </w:p>
    <w:p w:rsidR="005D2AA5" w:rsidRPr="005D2AA5" w:rsidRDefault="005D2AA5" w:rsidP="005D2AA5">
      <w:pPr>
        <w:spacing w:before="100" w:beforeAutospacing="1" w:after="100" w:afterAutospacing="1"/>
        <w:outlineLvl w:val="5"/>
        <w:rPr>
          <w:rFonts w:eastAsia="Times New Roman"/>
          <w:b/>
          <w:bCs/>
          <w:sz w:val="15"/>
          <w:szCs w:val="15"/>
          <w:lang w:eastAsia="pl-PL"/>
        </w:rPr>
      </w:pPr>
      <w:r w:rsidRPr="005D2AA5">
        <w:rPr>
          <w:rFonts w:eastAsia="Times New Roman"/>
          <w:b/>
          <w:bCs/>
          <w:sz w:val="15"/>
          <w:szCs w:val="15"/>
          <w:lang w:eastAsia="pl-PL"/>
        </w:rPr>
        <w:t>Zgodnie z art. 162 § 2 Ustawy do zgłoszenia kandydata na ławnika dokonanego na karcie zgłoszenia dołącza się następujące dokumenty:</w:t>
      </w:r>
    </w:p>
    <w:p w:rsidR="005D2AA5" w:rsidRPr="005D2AA5" w:rsidRDefault="005D2AA5" w:rsidP="005D2AA5">
      <w:pPr>
        <w:numPr>
          <w:ilvl w:val="0"/>
          <w:numId w:val="5"/>
        </w:numPr>
        <w:spacing w:before="100" w:beforeAutospacing="1" w:after="100" w:afterAutospacing="1"/>
        <w:rPr>
          <w:rFonts w:eastAsia="Times New Roman"/>
          <w:lang w:eastAsia="pl-PL"/>
        </w:rPr>
      </w:pPr>
      <w:r w:rsidRPr="005D2AA5">
        <w:rPr>
          <w:rFonts w:eastAsia="Times New Roman"/>
          <w:lang w:eastAsia="pl-PL"/>
        </w:rPr>
        <w:t>informację o kandydacie z Krajowego Rejestru Karnego,</w:t>
      </w:r>
    </w:p>
    <w:p w:rsidR="005D2AA5" w:rsidRPr="005D2AA5" w:rsidRDefault="005D2AA5" w:rsidP="005D2AA5">
      <w:pPr>
        <w:numPr>
          <w:ilvl w:val="0"/>
          <w:numId w:val="5"/>
        </w:numPr>
        <w:spacing w:before="100" w:beforeAutospacing="1" w:after="100" w:afterAutospacing="1"/>
        <w:rPr>
          <w:rFonts w:eastAsia="Times New Roman"/>
          <w:lang w:eastAsia="pl-PL"/>
        </w:rPr>
      </w:pPr>
      <w:r w:rsidRPr="005D2AA5">
        <w:rPr>
          <w:rFonts w:eastAsia="Times New Roman"/>
          <w:lang w:eastAsia="pl-PL"/>
        </w:rPr>
        <w:t>oświadczenie kandydata, że nie jest prowadzone przeciwko niemu postępowanie o przestępstwo ścigane z oskarżenia publicznego lub przestępstwo skarbowe,</w:t>
      </w:r>
    </w:p>
    <w:p w:rsidR="005D2AA5" w:rsidRPr="005D2AA5" w:rsidRDefault="005D2AA5" w:rsidP="005D2AA5">
      <w:pPr>
        <w:numPr>
          <w:ilvl w:val="0"/>
          <w:numId w:val="5"/>
        </w:numPr>
        <w:spacing w:before="100" w:beforeAutospacing="1" w:after="100" w:afterAutospacing="1"/>
        <w:rPr>
          <w:rFonts w:eastAsia="Times New Roman"/>
          <w:lang w:eastAsia="pl-PL"/>
        </w:rPr>
      </w:pPr>
      <w:r w:rsidRPr="005D2AA5">
        <w:rPr>
          <w:rFonts w:eastAsia="Times New Roman"/>
          <w:lang w:eastAsia="pl-PL"/>
        </w:rPr>
        <w:t>oświadczenie kandydata, że nie jest lub nie był pozbawiony władzy rodzicielskiej, a także, że władza rodzicielska nie została mu ograniczona ani zawieszona,</w:t>
      </w:r>
    </w:p>
    <w:p w:rsidR="005D2AA5" w:rsidRPr="005D2AA5" w:rsidRDefault="005D2AA5" w:rsidP="005D2AA5">
      <w:pPr>
        <w:numPr>
          <w:ilvl w:val="0"/>
          <w:numId w:val="5"/>
        </w:numPr>
        <w:spacing w:before="100" w:beforeAutospacing="1" w:after="100" w:afterAutospacing="1"/>
        <w:rPr>
          <w:rFonts w:eastAsia="Times New Roman"/>
          <w:lang w:eastAsia="pl-PL"/>
        </w:rPr>
      </w:pPr>
      <w:r w:rsidRPr="005D2AA5">
        <w:rPr>
          <w:rFonts w:eastAsia="Times New Roman"/>
          <w:lang w:eastAsia="pl-PL"/>
        </w:rPr>
        <w:t>zaświadczenie lekarskie o stanie zdrowia kandydata, wystawione przez lekarza podstawowej opieki zdrowotnej, stwierdzające brak przeciwwskazań do wykonywania funkcji ławnika,</w:t>
      </w:r>
    </w:p>
    <w:p w:rsidR="005D2AA5" w:rsidRPr="005D2AA5" w:rsidRDefault="005D2AA5" w:rsidP="005D2AA5">
      <w:pPr>
        <w:numPr>
          <w:ilvl w:val="0"/>
          <w:numId w:val="5"/>
        </w:numPr>
        <w:spacing w:before="100" w:beforeAutospacing="1" w:after="100" w:afterAutospacing="1"/>
        <w:rPr>
          <w:rFonts w:eastAsia="Times New Roman"/>
          <w:lang w:eastAsia="pl-PL"/>
        </w:rPr>
      </w:pPr>
      <w:r w:rsidRPr="005D2AA5">
        <w:rPr>
          <w:rFonts w:eastAsia="Times New Roman"/>
          <w:lang w:eastAsia="pl-PL"/>
        </w:rPr>
        <w:t>dwa zdjęcia zgodne z wymogami stosowanymi przy składaniu wniosku o wydanie dowodu osobistego.</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Informacja o kandydacie z Krajowego Rejestru Karnego, oświadczenia kandydata na ławnika oraz zaświadczenie lekarskie powinny być opatrzone</w:t>
      </w:r>
      <w:r w:rsidRPr="005D2AA5">
        <w:rPr>
          <w:rFonts w:eastAsia="Times New Roman"/>
          <w:b/>
          <w:bCs/>
          <w:lang w:eastAsia="pl-PL"/>
        </w:rPr>
        <w:t xml:space="preserve"> datą nie wcześniejszą niż 30 (trzydzieści) dni przed dniem zgłoszenia</w:t>
      </w:r>
      <w:r w:rsidRPr="005D2AA5">
        <w:rPr>
          <w:rFonts w:eastAsia="Times New Roman"/>
          <w:lang w:eastAsia="pl-PL"/>
        </w:rPr>
        <w:t>.</w:t>
      </w:r>
    </w:p>
    <w:p w:rsidR="005D2AA5" w:rsidRPr="005D2AA5" w:rsidRDefault="005D2AA5" w:rsidP="005D2AA5">
      <w:pPr>
        <w:spacing w:before="100" w:beforeAutospacing="1" w:after="100" w:afterAutospacing="1"/>
        <w:outlineLvl w:val="5"/>
        <w:rPr>
          <w:rFonts w:eastAsia="Times New Roman"/>
          <w:b/>
          <w:bCs/>
          <w:sz w:val="15"/>
          <w:szCs w:val="15"/>
          <w:lang w:eastAsia="pl-PL"/>
        </w:rPr>
      </w:pPr>
      <w:r w:rsidRPr="005D2AA5">
        <w:rPr>
          <w:rFonts w:eastAsia="Times New Roman"/>
          <w:b/>
          <w:bCs/>
          <w:sz w:val="15"/>
          <w:szCs w:val="15"/>
          <w:lang w:eastAsia="pl-PL"/>
        </w:rPr>
        <w:t>Ponadto do karty zgłoszenia należy dołączyć:</w:t>
      </w:r>
    </w:p>
    <w:p w:rsidR="005D2AA5" w:rsidRPr="005D2AA5" w:rsidRDefault="005D2AA5" w:rsidP="005D2AA5">
      <w:pPr>
        <w:numPr>
          <w:ilvl w:val="0"/>
          <w:numId w:val="6"/>
        </w:numPr>
        <w:spacing w:before="100" w:beforeAutospacing="1" w:after="100" w:afterAutospacing="1"/>
        <w:rPr>
          <w:rFonts w:eastAsia="Times New Roman"/>
          <w:lang w:eastAsia="pl-PL"/>
        </w:rPr>
      </w:pPr>
      <w:r w:rsidRPr="005D2AA5">
        <w:rPr>
          <w:rFonts w:eastAsia="Times New Roman"/>
          <w:lang w:eastAsia="pl-PL"/>
        </w:rPr>
        <w:t xml:space="preserve">aktualny odpis z Krajowego Rejestru Sądowego albo odpis lub zaświadczenie potwierdzające wpis do innego właściwego rejestru lub ewidencji (art. 162 § 3 Ustawy) – jeśli kandydata zgłasza stowarzyszenie lub inna organizacja społeczna lub zawodowa, zarejestrowana na podstawie przepisów prawa. Zgodnie z treścią art. 4 ust. 4aa ustawy z dnia 20 sierpnia 1997 r. o Krajowym Rejestrze Sądowym (Dz. U. z 2022 </w:t>
      </w:r>
      <w:r w:rsidRPr="005D2AA5">
        <w:rPr>
          <w:rFonts w:eastAsia="Times New Roman"/>
          <w:lang w:eastAsia="pl-PL"/>
        </w:rPr>
        <w:lastRenderedPageBreak/>
        <w:t>r. poz. 1683 ze zm.), dalej „ustawa o KRS”, pobrane samodzielnie wydruki komputerowe informacji o podmiotach wpisanych do Rejestru mają moc zrównaną z mocą odpisu aktualnego z rejestru, wydawanego przez Centralną Informację Krajowego Rejestru Sądowego, o których mowa w art. 4 ust. 3 ustawy o KRS, jeżeli posiadają cechy umożliwiające ich weryfikację z danymi zawartymi w Rejestrze,</w:t>
      </w:r>
    </w:p>
    <w:p w:rsidR="005D2AA5" w:rsidRPr="005D2AA5" w:rsidRDefault="005D2AA5" w:rsidP="005D2AA5">
      <w:pPr>
        <w:numPr>
          <w:ilvl w:val="0"/>
          <w:numId w:val="6"/>
        </w:numPr>
        <w:spacing w:before="100" w:beforeAutospacing="1" w:after="100" w:afterAutospacing="1"/>
        <w:rPr>
          <w:rFonts w:eastAsia="Times New Roman"/>
          <w:lang w:eastAsia="pl-PL"/>
        </w:rPr>
      </w:pPr>
      <w:r w:rsidRPr="005D2AA5">
        <w:rPr>
          <w:rFonts w:eastAsia="Times New Roman"/>
          <w:lang w:eastAsia="pl-PL"/>
        </w:rPr>
        <w:t>imienną listę osób zgłaszających kandydata wraz z podaniem ich numeru PESEL, miejsca stałego zamieszkania i własnoręcznym podpisem każdej z tych osób – gdy zgłoszenia kandydata na ławnika dokonuje grupa pięćdziesięciu obywateli (art. 162 § 4 Ustawy). Osobą uprawnioną do składania wyjaśnień w sprawie zgłoszenia kandydata jest osoba, której nazwisko zostało umieszczone jako pierwsze na liście (art. 162 § 6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Odpis z Krajowego Rejestru Sądowego albo odpis lub zaświadczenie potwierdzające wpis organizacji społecznej lub zawodowej do właściwego rejestru lub ewidencji powinny mieć </w:t>
      </w:r>
      <w:r w:rsidRPr="005D2AA5">
        <w:rPr>
          <w:rFonts w:eastAsia="Times New Roman"/>
          <w:b/>
          <w:bCs/>
          <w:lang w:eastAsia="pl-PL"/>
        </w:rPr>
        <w:t>datę nie wcześniejszą niż 3 (trzy) miesiące przed dniem zgłoszenia</w:t>
      </w:r>
      <w:r w:rsidRPr="005D2AA5">
        <w:rPr>
          <w:rFonts w:eastAsia="Times New Roman"/>
          <w:lang w:eastAsia="pl-PL"/>
        </w:rPr>
        <w:t xml:space="preserve"> (art. 162 § 5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Koszt opłaty za wydanie informacji z Krajowego Rejestru Karnego (więcej informacji: </w:t>
      </w:r>
      <w:hyperlink r:id="rId7" w:tgtFrame="_blank" w:tooltip="Krajowy Rejestr Karny - zwolnienie z opłaty kandydatów na ławników" w:history="1">
        <w:r w:rsidRPr="005D2AA5">
          <w:rPr>
            <w:rFonts w:eastAsia="Times New Roman"/>
            <w:color w:val="0000FF"/>
            <w:u w:val="single"/>
            <w:lang w:eastAsia="pl-PL"/>
          </w:rPr>
          <w:t>https://www.gov.pl/web/krajowy-rejestr-karny/zwolnienie-z-oplaty-kandydatow-na-lawnikowotwiera się w nowym oknie</w:t>
        </w:r>
      </w:hyperlink>
      <w:r w:rsidRPr="005D2AA5">
        <w:rPr>
          <w:rFonts w:eastAsia="Times New Roman"/>
          <w:lang w:eastAsia="pl-PL"/>
        </w:rPr>
        <w:t>) oraz aktualnego odpisu z Krajowego Rejestru Sądowego albo odpisu lub zaświadczenia innego właściwego rejestru lub ewidencji ponosi Skarb Państwa (art. 162 § 7 i § 8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Opłaty za badania lekarskie i za wystawienie zaświadczenia lekarskiego ponosi kandydat na ławnika (art. 162 § 7a Ustawy).</w:t>
      </w:r>
    </w:p>
    <w:p w:rsidR="005D2AA5" w:rsidRPr="005D2AA5" w:rsidRDefault="005D2AA5" w:rsidP="005D2AA5">
      <w:pPr>
        <w:spacing w:before="100" w:beforeAutospacing="1" w:after="100" w:afterAutospacing="1"/>
        <w:outlineLvl w:val="4"/>
        <w:rPr>
          <w:rFonts w:eastAsia="Times New Roman"/>
          <w:b/>
          <w:bCs/>
          <w:sz w:val="20"/>
          <w:szCs w:val="20"/>
          <w:lang w:eastAsia="pl-PL"/>
        </w:rPr>
      </w:pPr>
      <w:r w:rsidRPr="005D2AA5">
        <w:rPr>
          <w:rFonts w:eastAsia="Times New Roman"/>
          <w:b/>
          <w:bCs/>
          <w:sz w:val="20"/>
          <w:szCs w:val="20"/>
          <w:lang w:eastAsia="pl-PL"/>
        </w:rPr>
        <w:t>Wybór ławników przez radę gminy.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 xml:space="preserve">Zgodnie z art. 161 § 2 Ustawy prezes sądu okręgowego podaje liczbę ławników do wiadomości poszczególnym radom gmin </w:t>
      </w:r>
      <w:r w:rsidRPr="005D2AA5">
        <w:rPr>
          <w:rFonts w:eastAsia="Times New Roman"/>
          <w:b/>
          <w:bCs/>
          <w:lang w:eastAsia="pl-PL"/>
        </w:rPr>
        <w:t>najpóźniej na 30 (trzydzieści) dni przed upływem terminu zgłaszania kandydatów.</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Po dokonaniu zgłoszeń kandydatów na ławników przez uprawnione podmioty rady gmin zasięgają od komendanta wojewódzkiego Policji albo Komendanta Stołecznego Policji informacji o kandydatach. Informacje o kandydacie na ławnika uzyskuje się i sporządza na zasadach określonych dla informacji o kandydacie do objęcia stanowiska sędziowskiego (art. 162 § 9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Przed przystąpieniem do wyborów rada gminy powołuje zespół, który przedstawia na sesji rady gminy swoją opinię o zgłoszonych kandydatach, w szczególności w zakresie spełnienia przez nich wymogów określonych w ustawie (art. 163 § 2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b/>
          <w:bCs/>
          <w:lang w:eastAsia="pl-PL"/>
        </w:rPr>
        <w:t>Najpóźniej w październiku 2023 r. rady gminy dokonują wyboru ławników.</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Po przeprowadzeniu wyborów rada gminy przesyła niezwłocznie właściwemu sądowi karty zgłoszenia kandydatów, którzy zostali wybrani ławnikami, wraz z załączonymi do nich dokumentami oraz informacje o wybranych ławnikach uzyskane od komendanta wojewódzkiego Policji albo Komendanta Stołecznego Policji (§ 4 rozporządzenia Ministra Sprawiedliwości z dnia 9 czerwca 2011 r. w sprawie sposobu postępowania z dokumentami złożonymi radom gminy przy zgłaszaniu kandydatów na ławników oraz wzoru karty zgłoszenia).</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lastRenderedPageBreak/>
        <w:t xml:space="preserve">Listę wybranych ławników wraz z dokumentami, o których mowa w art. 162 § 2-4 Ustawy , rady gmin przesyłają prezesom właściwych sądów, </w:t>
      </w:r>
      <w:r w:rsidRPr="005D2AA5">
        <w:rPr>
          <w:rFonts w:eastAsia="Times New Roman"/>
          <w:b/>
          <w:bCs/>
          <w:lang w:eastAsia="pl-PL"/>
        </w:rPr>
        <w:t>najpóźniej do końca października 2023 r.</w:t>
      </w:r>
      <w:r w:rsidRPr="005D2AA5">
        <w:rPr>
          <w:rFonts w:eastAsia="Times New Roman"/>
          <w:lang w:eastAsia="pl-PL"/>
        </w:rPr>
        <w:t xml:space="preserve"> Spośród ławników znajdujących się na liście wybranych ławników rady gmin wskazują ławników do orzekania w sprawach z zakresu prawa pracy (art. 164 § 1 Ustawy).</w:t>
      </w:r>
    </w:p>
    <w:p w:rsidR="005D2AA5" w:rsidRPr="005D2AA5" w:rsidRDefault="005D2AA5" w:rsidP="005D2AA5">
      <w:pPr>
        <w:spacing w:before="100" w:beforeAutospacing="1" w:after="100" w:afterAutospacing="1"/>
        <w:rPr>
          <w:rFonts w:eastAsia="Times New Roman"/>
          <w:lang w:eastAsia="pl-PL"/>
        </w:rPr>
      </w:pPr>
      <w:r w:rsidRPr="005D2AA5">
        <w:rPr>
          <w:rFonts w:eastAsia="Times New Roman"/>
          <w:lang w:eastAsia="pl-PL"/>
        </w:rPr>
        <w:t>Prezes sądu wręcza ławnikom zawiadomienie o wyborze i odbiera od nich ślubowanie według roty ustalonej dla sędziów, z odpowiednią zmianą. (art. 164 § 2 Ustawy). Po odebraniu ślubowania prezes sądu wpisuje ławnika na listę ławników, którzy mogą być wyznaczani do orzekania, i wydaje mu legitymację. (art. 164 § 3 Ustawy).</w:t>
      </w:r>
    </w:p>
    <w:p w:rsidR="00E82307" w:rsidRDefault="00E82307">
      <w:bookmarkStart w:id="0" w:name="_GoBack"/>
      <w:bookmarkEnd w:id="0"/>
    </w:p>
    <w:sectPr w:rsidR="00E82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5E1"/>
    <w:multiLevelType w:val="multilevel"/>
    <w:tmpl w:val="4F2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2413F"/>
    <w:multiLevelType w:val="multilevel"/>
    <w:tmpl w:val="BFD8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A28D7"/>
    <w:multiLevelType w:val="multilevel"/>
    <w:tmpl w:val="D91E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0265E"/>
    <w:multiLevelType w:val="multilevel"/>
    <w:tmpl w:val="4128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F6456"/>
    <w:multiLevelType w:val="multilevel"/>
    <w:tmpl w:val="10B6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E0D55"/>
    <w:multiLevelType w:val="multilevel"/>
    <w:tmpl w:val="506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A5"/>
    <w:rsid w:val="005D2AA5"/>
    <w:rsid w:val="00E823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C83FF-097E-43CF-B31D-1C613AF0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816860">
      <w:bodyDiv w:val="1"/>
      <w:marLeft w:val="0"/>
      <w:marRight w:val="0"/>
      <w:marTop w:val="0"/>
      <w:marBottom w:val="0"/>
      <w:divBdr>
        <w:top w:val="none" w:sz="0" w:space="0" w:color="auto"/>
        <w:left w:val="none" w:sz="0" w:space="0" w:color="auto"/>
        <w:bottom w:val="none" w:sz="0" w:space="0" w:color="auto"/>
        <w:right w:val="none" w:sz="0" w:space="0" w:color="auto"/>
      </w:divBdr>
      <w:divsChild>
        <w:div w:id="636301211">
          <w:marLeft w:val="0"/>
          <w:marRight w:val="0"/>
          <w:marTop w:val="0"/>
          <w:marBottom w:val="0"/>
          <w:divBdr>
            <w:top w:val="none" w:sz="0" w:space="0" w:color="auto"/>
            <w:left w:val="none" w:sz="0" w:space="0" w:color="auto"/>
            <w:bottom w:val="none" w:sz="0" w:space="0" w:color="auto"/>
            <w:right w:val="none" w:sz="0" w:space="0" w:color="auto"/>
          </w:divBdr>
        </w:div>
        <w:div w:id="874199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krajowy-rejestr-karny/zwolnienie-z-oplaty-kandydatow-na-lawnik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dansk.so.gov.pl/download/karta-zgloszenia-kandydata-na-lawnika.docx" TargetMode="External"/><Relationship Id="rId5" Type="http://schemas.openxmlformats.org/officeDocument/2006/relationships/hyperlink" Target="https://gdansk.so.gov.pl/wlasciwosc-miejscowa-i-rzeczowa-sadu-okregowego-w-gdansku,m,m1,326,3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1725</Words>
  <Characters>10355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2023-05-15T08:31:00Z</dcterms:created>
  <dcterms:modified xsi:type="dcterms:W3CDTF">2023-05-15T08:32:00Z</dcterms:modified>
</cp:coreProperties>
</file>