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E5B1" w14:textId="1AE7693D" w:rsidR="00E1112F" w:rsidRDefault="00E1112F" w:rsidP="00E1112F">
      <w:pPr>
        <w:ind w:left="4956"/>
        <w:rPr>
          <w:rFonts w:eastAsia="Times New Roman" w:cs="Times New Roman"/>
          <w:lang w:eastAsia="pl-PL"/>
        </w:rPr>
      </w:pPr>
      <w:r>
        <w:rPr>
          <w:rFonts w:eastAsia="Times New Roman" w:cs="Times New Roman"/>
          <w:lang w:eastAsia="pl-PL"/>
        </w:rPr>
        <w:t>Załącznik do Uchwały …………………</w:t>
      </w:r>
    </w:p>
    <w:p w14:paraId="7E7FB308" w14:textId="77777777" w:rsidR="00E1112F" w:rsidRDefault="00E1112F" w:rsidP="00E1112F">
      <w:pPr>
        <w:ind w:left="4956"/>
        <w:rPr>
          <w:rFonts w:eastAsia="Times New Roman" w:cs="Times New Roman"/>
          <w:lang w:eastAsia="pl-PL"/>
        </w:rPr>
      </w:pPr>
      <w:r>
        <w:rPr>
          <w:rFonts w:eastAsia="Times New Roman" w:cs="Times New Roman"/>
          <w:lang w:eastAsia="pl-PL"/>
        </w:rPr>
        <w:t xml:space="preserve">Rady Gminy Gronowo Elbląskie </w:t>
      </w:r>
    </w:p>
    <w:p w14:paraId="0C7AF991" w14:textId="77AA277C" w:rsidR="00E1112F" w:rsidRDefault="00E1112F" w:rsidP="00E1112F">
      <w:pPr>
        <w:ind w:left="4956"/>
        <w:rPr>
          <w:rFonts w:eastAsia="Times New Roman" w:cs="Times New Roman"/>
          <w:lang w:eastAsia="pl-PL"/>
        </w:rPr>
      </w:pPr>
      <w:r>
        <w:rPr>
          <w:rFonts w:eastAsia="Times New Roman" w:cs="Times New Roman"/>
          <w:lang w:eastAsia="pl-PL"/>
        </w:rPr>
        <w:t>z dnia 29 września 2021 roku</w:t>
      </w:r>
    </w:p>
    <w:p w14:paraId="73E7A74C" w14:textId="77777777" w:rsidR="00E1112F" w:rsidRDefault="00E1112F" w:rsidP="003118FD">
      <w:pPr>
        <w:pStyle w:val="Standard"/>
        <w:ind w:left="5085"/>
      </w:pPr>
    </w:p>
    <w:p w14:paraId="190A1436" w14:textId="77777777" w:rsidR="00E1112F" w:rsidRDefault="00E1112F" w:rsidP="003118FD">
      <w:pPr>
        <w:pStyle w:val="Standard"/>
        <w:ind w:left="5085"/>
      </w:pPr>
    </w:p>
    <w:p w14:paraId="32B60A00" w14:textId="77777777" w:rsidR="0023594D" w:rsidRPr="003118FD" w:rsidRDefault="00066ADE" w:rsidP="00E1112F">
      <w:pPr>
        <w:pStyle w:val="Standard"/>
        <w:ind w:left="2836" w:firstLine="709"/>
        <w:jc w:val="right"/>
      </w:pPr>
      <w:r>
        <w:t>Gronowo Elbląskie, dnia 29</w:t>
      </w:r>
      <w:r w:rsidR="00D86A66" w:rsidRPr="003118FD">
        <w:t xml:space="preserve"> września 2021r.</w:t>
      </w:r>
    </w:p>
    <w:p w14:paraId="0CAA6630" w14:textId="77777777" w:rsidR="0023594D" w:rsidRPr="003118FD" w:rsidRDefault="0023594D" w:rsidP="003118FD">
      <w:pPr>
        <w:pStyle w:val="Standard"/>
        <w:ind w:left="5085"/>
      </w:pPr>
    </w:p>
    <w:p w14:paraId="2223D6F9" w14:textId="77777777" w:rsidR="0023594D" w:rsidRPr="003118FD" w:rsidRDefault="0023594D" w:rsidP="003118FD">
      <w:pPr>
        <w:pStyle w:val="Standard"/>
        <w:ind w:left="5085"/>
      </w:pPr>
    </w:p>
    <w:p w14:paraId="53FADE41" w14:textId="77777777" w:rsidR="0023594D" w:rsidRPr="003118FD" w:rsidRDefault="00D86A66" w:rsidP="003118FD">
      <w:pPr>
        <w:pStyle w:val="Standard"/>
        <w:ind w:left="4485"/>
        <w:rPr>
          <w:b/>
          <w:bCs/>
        </w:rPr>
      </w:pPr>
      <w:r w:rsidRPr="003118FD">
        <w:rPr>
          <w:b/>
          <w:bCs/>
        </w:rPr>
        <w:t>Do</w:t>
      </w:r>
    </w:p>
    <w:p w14:paraId="5A2D4E9C" w14:textId="77777777" w:rsidR="0023594D" w:rsidRPr="003118FD" w:rsidRDefault="0023594D" w:rsidP="003118FD">
      <w:pPr>
        <w:pStyle w:val="Standard"/>
        <w:ind w:left="4485"/>
        <w:rPr>
          <w:b/>
          <w:bCs/>
        </w:rPr>
      </w:pPr>
    </w:p>
    <w:p w14:paraId="172D9F33" w14:textId="77777777" w:rsidR="0023594D" w:rsidRPr="003118FD" w:rsidRDefault="00D86A66" w:rsidP="003118FD">
      <w:pPr>
        <w:pStyle w:val="Standard"/>
        <w:ind w:left="4485"/>
        <w:rPr>
          <w:b/>
          <w:bCs/>
        </w:rPr>
      </w:pPr>
      <w:r w:rsidRPr="003118FD">
        <w:rPr>
          <w:b/>
          <w:bCs/>
        </w:rPr>
        <w:t>Wojewódzkiego Sądu Administracyjnego</w:t>
      </w:r>
    </w:p>
    <w:p w14:paraId="4C4129EA" w14:textId="77777777" w:rsidR="0023594D" w:rsidRPr="003118FD" w:rsidRDefault="00D86A66" w:rsidP="003118FD">
      <w:pPr>
        <w:pStyle w:val="Standard"/>
        <w:ind w:left="4485"/>
        <w:rPr>
          <w:b/>
          <w:bCs/>
        </w:rPr>
      </w:pPr>
      <w:r w:rsidRPr="003118FD">
        <w:rPr>
          <w:b/>
          <w:bCs/>
        </w:rPr>
        <w:t>w Olsztynie</w:t>
      </w:r>
    </w:p>
    <w:p w14:paraId="7AF1CD4C" w14:textId="77777777" w:rsidR="0023594D" w:rsidRPr="003118FD" w:rsidRDefault="00D86A66" w:rsidP="003118FD">
      <w:pPr>
        <w:pStyle w:val="Standard"/>
        <w:ind w:left="4485"/>
        <w:rPr>
          <w:b/>
          <w:bCs/>
        </w:rPr>
      </w:pPr>
      <w:r w:rsidRPr="003118FD">
        <w:rPr>
          <w:b/>
          <w:bCs/>
        </w:rPr>
        <w:t>ul. Emilii Plater 1</w:t>
      </w:r>
    </w:p>
    <w:p w14:paraId="295DCDE7" w14:textId="77777777" w:rsidR="0023594D" w:rsidRPr="003118FD" w:rsidRDefault="00D86A66" w:rsidP="003118FD">
      <w:pPr>
        <w:pStyle w:val="Standard"/>
        <w:ind w:left="4485"/>
        <w:rPr>
          <w:b/>
          <w:bCs/>
        </w:rPr>
      </w:pPr>
      <w:r w:rsidRPr="003118FD">
        <w:rPr>
          <w:b/>
          <w:bCs/>
        </w:rPr>
        <w:t>10-526 Olsztyn</w:t>
      </w:r>
    </w:p>
    <w:p w14:paraId="0EB0E2F9" w14:textId="77777777" w:rsidR="0023594D" w:rsidRPr="003118FD" w:rsidRDefault="0023594D" w:rsidP="003118FD">
      <w:pPr>
        <w:pStyle w:val="Standard"/>
        <w:ind w:left="4485"/>
        <w:rPr>
          <w:b/>
          <w:bCs/>
        </w:rPr>
      </w:pPr>
    </w:p>
    <w:p w14:paraId="33002BF2" w14:textId="77777777" w:rsidR="0023594D" w:rsidRPr="003118FD" w:rsidRDefault="0023594D" w:rsidP="003118FD">
      <w:pPr>
        <w:pStyle w:val="Standard"/>
        <w:ind w:left="4485"/>
        <w:rPr>
          <w:b/>
          <w:bCs/>
        </w:rPr>
      </w:pPr>
    </w:p>
    <w:p w14:paraId="28A2B350" w14:textId="30D26BDD" w:rsidR="0023594D" w:rsidRPr="003118FD" w:rsidRDefault="00E1112F" w:rsidP="003118FD">
      <w:pPr>
        <w:pStyle w:val="Standard"/>
        <w:ind w:left="3390"/>
        <w:rPr>
          <w:b/>
          <w:bCs/>
        </w:rPr>
      </w:pPr>
      <w:r w:rsidRPr="003118FD">
        <w:rPr>
          <w:b/>
          <w:bCs/>
        </w:rPr>
        <w:t>Skarżący:</w:t>
      </w:r>
    </w:p>
    <w:p w14:paraId="04C5DA16" w14:textId="77777777" w:rsidR="0023594D" w:rsidRPr="003118FD" w:rsidRDefault="00D86A66" w:rsidP="003118FD">
      <w:pPr>
        <w:pStyle w:val="Standard"/>
        <w:ind w:left="3390"/>
        <w:rPr>
          <w:b/>
          <w:bCs/>
        </w:rPr>
      </w:pPr>
      <w:r w:rsidRPr="003118FD">
        <w:rPr>
          <w:b/>
          <w:bCs/>
        </w:rPr>
        <w:t xml:space="preserve">                    Wojewoda Warmińsko-Mazurski</w:t>
      </w:r>
    </w:p>
    <w:p w14:paraId="354C1F30" w14:textId="77777777" w:rsidR="0023594D" w:rsidRPr="003118FD" w:rsidRDefault="00D86A66" w:rsidP="003118FD">
      <w:pPr>
        <w:pStyle w:val="Standard"/>
        <w:ind w:left="3390"/>
        <w:rPr>
          <w:b/>
          <w:bCs/>
        </w:rPr>
      </w:pPr>
      <w:r w:rsidRPr="003118FD">
        <w:rPr>
          <w:b/>
          <w:bCs/>
        </w:rPr>
        <w:t xml:space="preserve">                    Al. Marszałka Józefa Piłsudskiego 7/9</w:t>
      </w:r>
    </w:p>
    <w:p w14:paraId="445539D2" w14:textId="77777777" w:rsidR="0023594D" w:rsidRPr="003118FD" w:rsidRDefault="00D86A66" w:rsidP="003118FD">
      <w:pPr>
        <w:pStyle w:val="Standard"/>
        <w:ind w:left="3390"/>
        <w:rPr>
          <w:b/>
          <w:bCs/>
        </w:rPr>
      </w:pPr>
      <w:r w:rsidRPr="003118FD">
        <w:rPr>
          <w:b/>
          <w:bCs/>
        </w:rPr>
        <w:t xml:space="preserve">                    10-575 Olsztyn</w:t>
      </w:r>
    </w:p>
    <w:p w14:paraId="14980EC6" w14:textId="77777777" w:rsidR="0023594D" w:rsidRPr="003118FD" w:rsidRDefault="0023594D" w:rsidP="003118FD">
      <w:pPr>
        <w:pStyle w:val="Standard"/>
        <w:ind w:left="3390"/>
        <w:rPr>
          <w:b/>
          <w:bCs/>
        </w:rPr>
      </w:pPr>
    </w:p>
    <w:p w14:paraId="287B8178" w14:textId="77777777" w:rsidR="0023594D" w:rsidRPr="003118FD" w:rsidRDefault="00D86A66" w:rsidP="003118FD">
      <w:pPr>
        <w:pStyle w:val="Standard"/>
        <w:ind w:left="3390"/>
        <w:rPr>
          <w:b/>
          <w:bCs/>
        </w:rPr>
      </w:pPr>
      <w:r w:rsidRPr="003118FD">
        <w:rPr>
          <w:b/>
          <w:bCs/>
        </w:rPr>
        <w:t>Strona przeciwna:</w:t>
      </w:r>
    </w:p>
    <w:p w14:paraId="2522B3A2" w14:textId="77777777" w:rsidR="0023594D" w:rsidRPr="003118FD" w:rsidRDefault="00D86A66" w:rsidP="003118FD">
      <w:pPr>
        <w:pStyle w:val="Standard"/>
        <w:ind w:left="3390"/>
        <w:rPr>
          <w:b/>
          <w:bCs/>
        </w:rPr>
      </w:pPr>
      <w:r w:rsidRPr="003118FD">
        <w:rPr>
          <w:b/>
          <w:bCs/>
        </w:rPr>
        <w:t xml:space="preserve">                     Gmina Gronowo Elbląskie</w:t>
      </w:r>
    </w:p>
    <w:p w14:paraId="3F521BED" w14:textId="77777777" w:rsidR="0023594D" w:rsidRPr="003118FD" w:rsidRDefault="00D86A66" w:rsidP="003118FD">
      <w:pPr>
        <w:pStyle w:val="Standard"/>
        <w:ind w:left="3390"/>
        <w:rPr>
          <w:b/>
          <w:bCs/>
        </w:rPr>
      </w:pPr>
      <w:r w:rsidRPr="003118FD">
        <w:rPr>
          <w:b/>
          <w:bCs/>
        </w:rPr>
        <w:t xml:space="preserve">                     ul. Łączności 3</w:t>
      </w:r>
    </w:p>
    <w:p w14:paraId="4C063747" w14:textId="77777777" w:rsidR="0023594D" w:rsidRPr="003118FD" w:rsidRDefault="00D86A66" w:rsidP="003118FD">
      <w:pPr>
        <w:pStyle w:val="Standard"/>
        <w:ind w:left="3390"/>
        <w:rPr>
          <w:b/>
          <w:bCs/>
        </w:rPr>
      </w:pPr>
      <w:r w:rsidRPr="003118FD">
        <w:rPr>
          <w:b/>
          <w:bCs/>
        </w:rPr>
        <w:t xml:space="preserve">                     82-335 Gronowo Elbląskie</w:t>
      </w:r>
    </w:p>
    <w:p w14:paraId="3EE01A39" w14:textId="77777777" w:rsidR="0023594D" w:rsidRPr="003118FD" w:rsidRDefault="0023594D" w:rsidP="003118FD">
      <w:pPr>
        <w:pStyle w:val="Standard"/>
        <w:ind w:left="3390"/>
        <w:rPr>
          <w:b/>
          <w:bCs/>
        </w:rPr>
      </w:pPr>
    </w:p>
    <w:p w14:paraId="365AD845" w14:textId="77777777" w:rsidR="0023594D" w:rsidRPr="003118FD" w:rsidRDefault="0023594D" w:rsidP="003118FD">
      <w:pPr>
        <w:pStyle w:val="Standard"/>
        <w:ind w:left="3390"/>
        <w:rPr>
          <w:b/>
          <w:bCs/>
        </w:rPr>
      </w:pPr>
    </w:p>
    <w:p w14:paraId="5627A78E" w14:textId="77777777" w:rsidR="0023594D" w:rsidRPr="003118FD" w:rsidRDefault="0023594D" w:rsidP="003118FD">
      <w:pPr>
        <w:pStyle w:val="Standard"/>
        <w:ind w:left="3390"/>
        <w:rPr>
          <w:b/>
          <w:bCs/>
        </w:rPr>
      </w:pPr>
    </w:p>
    <w:p w14:paraId="4A53E048" w14:textId="77777777" w:rsidR="0023594D" w:rsidRPr="003118FD" w:rsidRDefault="00D86A66" w:rsidP="003118FD">
      <w:pPr>
        <w:pStyle w:val="Standard"/>
        <w:ind w:left="-15"/>
        <w:jc w:val="center"/>
        <w:rPr>
          <w:b/>
          <w:bCs/>
        </w:rPr>
      </w:pPr>
      <w:r w:rsidRPr="003118FD">
        <w:rPr>
          <w:b/>
          <w:bCs/>
        </w:rPr>
        <w:t>Przekazanie skargi Wojewody Warmińsko-Mazurskiego</w:t>
      </w:r>
    </w:p>
    <w:p w14:paraId="0ED00100" w14:textId="77777777" w:rsidR="0023594D" w:rsidRPr="003118FD" w:rsidRDefault="00D86A66" w:rsidP="003118FD">
      <w:pPr>
        <w:pStyle w:val="Standard"/>
        <w:ind w:left="-15"/>
        <w:jc w:val="center"/>
        <w:rPr>
          <w:b/>
          <w:bCs/>
        </w:rPr>
      </w:pPr>
      <w:r w:rsidRPr="003118FD">
        <w:rPr>
          <w:b/>
          <w:bCs/>
        </w:rPr>
        <w:t>do Wojewódzkiego Sądu Administracyjnego w Olsztynie</w:t>
      </w:r>
    </w:p>
    <w:p w14:paraId="5CC3247B" w14:textId="77777777" w:rsidR="0023594D" w:rsidRPr="003118FD" w:rsidRDefault="00D86A66" w:rsidP="003118FD">
      <w:pPr>
        <w:pStyle w:val="Standard"/>
        <w:ind w:left="-15"/>
        <w:jc w:val="center"/>
        <w:rPr>
          <w:b/>
          <w:bCs/>
        </w:rPr>
      </w:pPr>
      <w:r w:rsidRPr="003118FD">
        <w:rPr>
          <w:b/>
          <w:bCs/>
        </w:rPr>
        <w:t xml:space="preserve"> wraz z odpowiedzią na skargę.</w:t>
      </w:r>
    </w:p>
    <w:p w14:paraId="455B6776" w14:textId="77777777" w:rsidR="0023594D" w:rsidRPr="003118FD" w:rsidRDefault="0023594D" w:rsidP="003118FD">
      <w:pPr>
        <w:pStyle w:val="Standard"/>
        <w:ind w:left="-15"/>
        <w:jc w:val="center"/>
        <w:rPr>
          <w:b/>
          <w:bCs/>
        </w:rPr>
      </w:pPr>
    </w:p>
    <w:p w14:paraId="5E9CFF78" w14:textId="77777777" w:rsidR="0023594D" w:rsidRPr="003118FD" w:rsidRDefault="0023594D" w:rsidP="003118FD">
      <w:pPr>
        <w:pStyle w:val="Standard"/>
        <w:ind w:left="-15"/>
        <w:jc w:val="center"/>
        <w:rPr>
          <w:b/>
          <w:bCs/>
        </w:rPr>
      </w:pPr>
    </w:p>
    <w:p w14:paraId="4801841F" w14:textId="55B9A6C6" w:rsidR="00CE173C" w:rsidRPr="003118FD" w:rsidRDefault="00D86A66" w:rsidP="003118FD">
      <w:pPr>
        <w:pStyle w:val="Standard"/>
        <w:ind w:firstLine="1440"/>
        <w:jc w:val="both"/>
      </w:pPr>
      <w:r w:rsidRPr="003118FD">
        <w:t>Przekazując w załączeniu skargę Wojewody Warm</w:t>
      </w:r>
      <w:r w:rsidR="00CE173C" w:rsidRPr="003118FD">
        <w:t xml:space="preserve">ińsko-Mazurskiego </w:t>
      </w:r>
      <w:r w:rsidR="00E1112F">
        <w:br/>
      </w:r>
      <w:r w:rsidR="00CE173C" w:rsidRPr="003118FD">
        <w:t>w Olsztynie z </w:t>
      </w:r>
      <w:r w:rsidRPr="003118FD">
        <w:t xml:space="preserve">dnia </w:t>
      </w:r>
      <w:r w:rsidRPr="00102B6F">
        <w:t>10 września</w:t>
      </w:r>
      <w:r w:rsidRPr="003118FD">
        <w:t xml:space="preserve"> 2021r. (otrzymana w dniu </w:t>
      </w:r>
      <w:r w:rsidRPr="00102B6F">
        <w:t>16 września</w:t>
      </w:r>
      <w:r w:rsidRPr="003118FD">
        <w:t xml:space="preserve"> 2021r.) na uchwałę Nr XXV/14</w:t>
      </w:r>
      <w:r w:rsidRPr="00102B6F">
        <w:t>8</w:t>
      </w:r>
      <w:r w:rsidRPr="003118FD">
        <w:t>/2021 Rady Gminy Gronowo Elbląskie z dnia 19 maja 2021r.</w:t>
      </w:r>
    </w:p>
    <w:p w14:paraId="7D3677D1" w14:textId="77777777" w:rsidR="0023594D" w:rsidRPr="003118FD" w:rsidRDefault="00CE173C" w:rsidP="003118FD">
      <w:pPr>
        <w:pStyle w:val="Standard"/>
        <w:ind w:firstLine="2410"/>
        <w:jc w:val="both"/>
      </w:pPr>
      <w:r w:rsidRPr="003118FD">
        <w:t>w</w:t>
      </w:r>
      <w:r w:rsidR="00D86A66" w:rsidRPr="003118FD">
        <w:rPr>
          <w:b/>
          <w:bCs/>
        </w:rPr>
        <w:t>noszę o</w:t>
      </w:r>
      <w:r w:rsidR="00D86A66" w:rsidRPr="003118FD">
        <w:t xml:space="preserve"> oddalenie skargi jako nieuzasadnionej.</w:t>
      </w:r>
    </w:p>
    <w:p w14:paraId="2D9F95F9" w14:textId="77777777" w:rsidR="0023594D" w:rsidRPr="003118FD" w:rsidRDefault="0023594D" w:rsidP="003118FD">
      <w:pPr>
        <w:pStyle w:val="Standard"/>
        <w:ind w:left="-15" w:firstLine="1440"/>
        <w:jc w:val="both"/>
      </w:pPr>
    </w:p>
    <w:p w14:paraId="5E492D79" w14:textId="77777777" w:rsidR="0023594D" w:rsidRPr="003118FD" w:rsidRDefault="0023594D" w:rsidP="003118FD">
      <w:pPr>
        <w:pStyle w:val="Standard"/>
        <w:ind w:left="-15" w:firstLine="1440"/>
        <w:jc w:val="both"/>
      </w:pPr>
    </w:p>
    <w:p w14:paraId="386267C1" w14:textId="77777777" w:rsidR="0023594D" w:rsidRPr="003118FD" w:rsidRDefault="00D86A66" w:rsidP="003118FD">
      <w:pPr>
        <w:pStyle w:val="Standard"/>
        <w:ind w:left="-15"/>
        <w:jc w:val="center"/>
      </w:pPr>
      <w:r w:rsidRPr="003118FD">
        <w:t>U z a s a d n i e n i e</w:t>
      </w:r>
    </w:p>
    <w:p w14:paraId="32332710" w14:textId="77777777" w:rsidR="0023594D" w:rsidRPr="003118FD" w:rsidRDefault="0023594D" w:rsidP="003118FD">
      <w:pPr>
        <w:pStyle w:val="Standard"/>
        <w:ind w:left="-15"/>
        <w:jc w:val="center"/>
      </w:pPr>
    </w:p>
    <w:p w14:paraId="6F6E6362" w14:textId="77777777" w:rsidR="0023594D" w:rsidRPr="003118FD" w:rsidRDefault="00D86A66" w:rsidP="003118FD">
      <w:pPr>
        <w:pStyle w:val="Zwykytekst"/>
        <w:spacing w:line="276" w:lineRule="auto"/>
        <w:ind w:left="284"/>
        <w:jc w:val="both"/>
      </w:pPr>
      <w:r w:rsidRPr="003118FD">
        <w:rPr>
          <w:rFonts w:ascii="Times New Roman" w:hAnsi="Times New Roman" w:cs="Times New Roman"/>
          <w:sz w:val="24"/>
          <w:szCs w:val="22"/>
        </w:rPr>
        <w:t xml:space="preserve">Uzasadnienie skargi Wojewody Warmińsko-Mazurskiego zawiera następujące zarzuty sformułowane w stosunku do przedmiotowej uchwały uchwalającej miejscowy plan zagospodarowania przestrzennego </w:t>
      </w:r>
      <w:r w:rsidRPr="00102B6F">
        <w:rPr>
          <w:rFonts w:ascii="Times New Roman" w:hAnsi="Times New Roman" w:cs="Times New Roman"/>
          <w:sz w:val="24"/>
        </w:rPr>
        <w:t xml:space="preserve">gminy </w:t>
      </w:r>
      <w:r w:rsidRPr="00102B6F">
        <w:rPr>
          <w:rFonts w:ascii="Times New Roman" w:hAnsi="Times New Roman" w:cs="Times New Roman"/>
          <w:sz w:val="24"/>
          <w:lang w:eastAsia="pl-PL"/>
        </w:rPr>
        <w:t>Gronowo Elbląskie</w:t>
      </w:r>
      <w:r w:rsidRPr="00102B6F">
        <w:rPr>
          <w:rFonts w:ascii="Times New Roman" w:hAnsi="Times New Roman" w:cs="Times New Roman"/>
          <w:sz w:val="24"/>
        </w:rPr>
        <w:t xml:space="preserve"> w miejscowości Wikrowo</w:t>
      </w:r>
      <w:r w:rsidRPr="003118FD">
        <w:rPr>
          <w:rFonts w:ascii="Times New Roman" w:hAnsi="Times New Roman" w:cs="Times New Roman"/>
          <w:sz w:val="24"/>
          <w:szCs w:val="22"/>
        </w:rPr>
        <w:t>:</w:t>
      </w:r>
    </w:p>
    <w:p w14:paraId="78E786E2" w14:textId="370249B2" w:rsidR="0023594D" w:rsidRPr="003118FD" w:rsidRDefault="00D86A66" w:rsidP="003118FD">
      <w:pPr>
        <w:pStyle w:val="Standard"/>
        <w:ind w:left="1134"/>
        <w:jc w:val="both"/>
      </w:pPr>
      <w:r w:rsidRPr="003118FD">
        <w:rPr>
          <w:rFonts w:cs="Times New Roman"/>
          <w:b/>
        </w:rPr>
        <w:t>1.</w:t>
      </w:r>
      <w:r w:rsidRPr="003118FD">
        <w:rPr>
          <w:rFonts w:cs="Times New Roman"/>
        </w:rPr>
        <w:t xml:space="preserve"> Niespójność tekstu z częścią graficzną, poprzez dopuszczenie „</w:t>
      </w:r>
      <w:r w:rsidRPr="003118FD">
        <w:rPr>
          <w:rFonts w:cs="Times New Roman"/>
          <w:lang w:eastAsia="pl-PL"/>
        </w:rPr>
        <w:t xml:space="preserve">rozbudowy istniejących siedlisk zabudowy zagrodowej, w tym obiektów do składowania </w:t>
      </w:r>
      <w:r w:rsidR="00E1112F">
        <w:rPr>
          <w:rFonts w:cs="Times New Roman"/>
          <w:lang w:eastAsia="pl-PL"/>
        </w:rPr>
        <w:br/>
      </w:r>
      <w:r w:rsidRPr="003118FD">
        <w:rPr>
          <w:rFonts w:cs="Times New Roman"/>
          <w:lang w:eastAsia="pl-PL"/>
        </w:rPr>
        <w:t>w ramach przechowywania produktów i</w:t>
      </w:r>
      <w:r w:rsidR="00E1112F">
        <w:rPr>
          <w:rFonts w:cs="Times New Roman"/>
          <w:lang w:eastAsia="pl-PL"/>
        </w:rPr>
        <w:t xml:space="preserve"> </w:t>
      </w:r>
      <w:r w:rsidRPr="003118FD">
        <w:rPr>
          <w:rFonts w:cs="Times New Roman"/>
          <w:lang w:eastAsia="pl-PL"/>
        </w:rPr>
        <w:t xml:space="preserve">wyrobów przetwórstwa rolno-spożywczego” </w:t>
      </w:r>
      <w:r w:rsidRPr="003118FD">
        <w:rPr>
          <w:rFonts w:cs="Times New Roman"/>
        </w:rPr>
        <w:t xml:space="preserve">w terenach: MN, U – </w:t>
      </w:r>
      <w:r w:rsidRPr="003118FD">
        <w:rPr>
          <w:rFonts w:cs="Times New Roman"/>
          <w:lang w:eastAsia="pl-PL"/>
        </w:rPr>
        <w:t xml:space="preserve">teren zabudowy mieszkaniowej jednorodzinnej, teren zabudowy usługowej z zakresu usług nieuciążliwych, </w:t>
      </w:r>
      <w:r w:rsidR="00E1112F">
        <w:rPr>
          <w:rFonts w:cs="Times New Roman"/>
          <w:lang w:eastAsia="pl-PL"/>
        </w:rPr>
        <w:br/>
      </w:r>
      <w:r w:rsidRPr="00102B6F">
        <w:rPr>
          <w:rFonts w:cs="Times New Roman"/>
          <w:lang w:eastAsia="pl-PL"/>
        </w:rPr>
        <w:t xml:space="preserve">a także </w:t>
      </w:r>
      <w:r w:rsidRPr="00102B6F">
        <w:rPr>
          <w:rFonts w:cs="Times New Roman"/>
        </w:rPr>
        <w:t xml:space="preserve">UK/MN – teren zabudowy usług kultury z zabudową mieszkaniową </w:t>
      </w:r>
      <w:r w:rsidRPr="00102B6F">
        <w:rPr>
          <w:rFonts w:cs="Times New Roman"/>
        </w:rPr>
        <w:lastRenderedPageBreak/>
        <w:t xml:space="preserve">jednorodzinną jako funkcją towarzyszącą zabudowie usługowej </w:t>
      </w:r>
      <w:r w:rsidRPr="003118FD">
        <w:rPr>
          <w:rFonts w:cs="Times New Roman"/>
          <w:i/>
          <w:iCs/>
        </w:rPr>
        <w:t>(str. 2</w:t>
      </w:r>
      <w:r w:rsidR="00CE173C" w:rsidRPr="003118FD">
        <w:rPr>
          <w:rFonts w:cs="Times New Roman"/>
          <w:i/>
          <w:iCs/>
        </w:rPr>
        <w:t xml:space="preserve"> </w:t>
      </w:r>
      <w:r w:rsidRPr="003118FD">
        <w:rPr>
          <w:rFonts w:cs="Times New Roman"/>
          <w:i/>
          <w:iCs/>
        </w:rPr>
        <w:t>treści skargi, od czwartego akapitu)</w:t>
      </w:r>
      <w:r w:rsidRPr="003118FD">
        <w:rPr>
          <w:rFonts w:cs="Times New Roman"/>
        </w:rPr>
        <w:t>.</w:t>
      </w:r>
    </w:p>
    <w:p w14:paraId="652E75AC" w14:textId="77777777" w:rsidR="00C5215B" w:rsidRPr="003118FD" w:rsidRDefault="00D86A66" w:rsidP="003118FD">
      <w:pPr>
        <w:pStyle w:val="Zwykytekst"/>
        <w:spacing w:line="276" w:lineRule="auto"/>
        <w:ind w:left="1140"/>
        <w:jc w:val="both"/>
        <w:rPr>
          <w:rFonts w:ascii="Times New Roman" w:hAnsi="Times New Roman" w:cs="Times New Roman"/>
          <w:sz w:val="24"/>
          <w:szCs w:val="22"/>
          <w:lang w:eastAsia="pl-PL"/>
        </w:rPr>
      </w:pPr>
      <w:r w:rsidRPr="003118FD">
        <w:rPr>
          <w:rFonts w:ascii="Times New Roman" w:hAnsi="Times New Roman" w:cs="Times New Roman"/>
          <w:b/>
          <w:bCs/>
          <w:sz w:val="24"/>
          <w:szCs w:val="22"/>
        </w:rPr>
        <w:t>2.</w:t>
      </w:r>
      <w:r w:rsidRPr="003118FD">
        <w:rPr>
          <w:rFonts w:ascii="Times New Roman" w:hAnsi="Times New Roman" w:cs="Times New Roman"/>
          <w:sz w:val="24"/>
          <w:szCs w:val="22"/>
        </w:rPr>
        <w:t xml:space="preserve"> Niespójność tekstu z częścią graficzną, poprzez dopuszczenie „gospodarstw agroturystycznych</w:t>
      </w:r>
      <w:r w:rsidRPr="003118FD">
        <w:rPr>
          <w:rFonts w:ascii="Times New Roman" w:hAnsi="Times New Roman" w:cs="Times New Roman"/>
          <w:sz w:val="24"/>
          <w:szCs w:val="22"/>
          <w:lang w:eastAsia="pl-PL"/>
        </w:rPr>
        <w:t xml:space="preserve">” </w:t>
      </w:r>
      <w:r w:rsidRPr="003118FD">
        <w:rPr>
          <w:rFonts w:ascii="Times New Roman" w:hAnsi="Times New Roman" w:cs="Times New Roman"/>
          <w:sz w:val="24"/>
          <w:szCs w:val="22"/>
        </w:rPr>
        <w:t xml:space="preserve">w terenach: MN, U – </w:t>
      </w:r>
      <w:r w:rsidRPr="003118FD">
        <w:rPr>
          <w:rFonts w:ascii="Times New Roman" w:hAnsi="Times New Roman" w:cs="Times New Roman"/>
          <w:sz w:val="24"/>
          <w:szCs w:val="22"/>
          <w:lang w:eastAsia="pl-PL"/>
        </w:rPr>
        <w:t>teren zabudowy mieszkaniowej jednorodzinnej, teren zabudowy usługowej</w:t>
      </w:r>
      <w:r w:rsidR="00F27A10" w:rsidRPr="003118FD">
        <w:rPr>
          <w:rFonts w:ascii="Times New Roman" w:hAnsi="Times New Roman" w:cs="Times New Roman"/>
          <w:sz w:val="24"/>
          <w:szCs w:val="22"/>
          <w:lang w:eastAsia="pl-PL"/>
        </w:rPr>
        <w:t xml:space="preserve"> z zakresu usług nieuciążliwych</w:t>
      </w:r>
      <w:r w:rsidRPr="003118FD">
        <w:rPr>
          <w:rFonts w:ascii="Times New Roman" w:hAnsi="Times New Roman" w:cs="Times New Roman"/>
          <w:sz w:val="24"/>
          <w:szCs w:val="22"/>
          <w:lang w:eastAsia="pl-PL"/>
        </w:rPr>
        <w:t xml:space="preserve"> </w:t>
      </w:r>
    </w:p>
    <w:p w14:paraId="42654524" w14:textId="77777777" w:rsidR="0023594D" w:rsidRPr="003118FD" w:rsidRDefault="00D86A66" w:rsidP="003118FD">
      <w:pPr>
        <w:pStyle w:val="Zwykytekst"/>
        <w:spacing w:line="276" w:lineRule="auto"/>
        <w:ind w:left="1140"/>
        <w:jc w:val="both"/>
      </w:pPr>
      <w:r w:rsidRPr="003118FD">
        <w:rPr>
          <w:rFonts w:ascii="Times New Roman" w:hAnsi="Times New Roman" w:cs="Times New Roman"/>
          <w:i/>
          <w:iCs/>
          <w:sz w:val="24"/>
          <w:szCs w:val="22"/>
        </w:rPr>
        <w:t>(str. 2 treści skargi, od czwartego akapitu).</w:t>
      </w:r>
    </w:p>
    <w:p w14:paraId="421A4102" w14:textId="459868BD" w:rsidR="00C5215B" w:rsidRPr="003118FD" w:rsidRDefault="00D86A66" w:rsidP="003118FD">
      <w:pPr>
        <w:pStyle w:val="Zwykytekst"/>
        <w:spacing w:line="276" w:lineRule="auto"/>
        <w:ind w:left="1125"/>
        <w:jc w:val="both"/>
        <w:rPr>
          <w:sz w:val="22"/>
        </w:rPr>
      </w:pPr>
      <w:r w:rsidRPr="003118FD">
        <w:rPr>
          <w:rFonts w:ascii="Times New Roman" w:hAnsi="Times New Roman" w:cs="Times New Roman"/>
          <w:b/>
          <w:bCs/>
          <w:sz w:val="24"/>
          <w:szCs w:val="22"/>
        </w:rPr>
        <w:t>3.</w:t>
      </w:r>
      <w:r w:rsidRPr="003118FD">
        <w:rPr>
          <w:rFonts w:ascii="Times New Roman" w:hAnsi="Times New Roman" w:cs="Times New Roman"/>
          <w:sz w:val="24"/>
          <w:szCs w:val="22"/>
        </w:rPr>
        <w:t xml:space="preserve"> </w:t>
      </w:r>
      <w:r w:rsidR="00E1112F" w:rsidRPr="003118FD">
        <w:rPr>
          <w:rFonts w:ascii="Times New Roman" w:hAnsi="Times New Roman" w:cs="Times New Roman"/>
          <w:sz w:val="24"/>
          <w:szCs w:val="22"/>
        </w:rPr>
        <w:t>Dopuszczenie lokalizacji</w:t>
      </w:r>
      <w:r w:rsidRPr="003118FD">
        <w:rPr>
          <w:rFonts w:ascii="Times New Roman" w:hAnsi="Times New Roman" w:cs="Times New Roman"/>
          <w:sz w:val="24"/>
          <w:szCs w:val="22"/>
        </w:rPr>
        <w:t xml:space="preserve"> historycznych obiektów żuławskich, opartych na historycznych wzorach </w:t>
      </w:r>
      <w:r w:rsidR="00E1112F" w:rsidRPr="003118FD">
        <w:rPr>
          <w:rFonts w:ascii="Times New Roman" w:hAnsi="Times New Roman" w:cs="Times New Roman"/>
          <w:sz w:val="24"/>
          <w:szCs w:val="22"/>
        </w:rPr>
        <w:t>żuławskich</w:t>
      </w:r>
      <w:r w:rsidRPr="003118FD">
        <w:rPr>
          <w:rFonts w:ascii="Times New Roman" w:hAnsi="Times New Roman" w:cs="Times New Roman"/>
          <w:sz w:val="24"/>
          <w:szCs w:val="22"/>
        </w:rPr>
        <w:t xml:space="preserve"> jako indywidualnych budowli</w:t>
      </w:r>
      <w:r w:rsidRPr="003118FD">
        <w:rPr>
          <w:sz w:val="22"/>
        </w:rPr>
        <w:t xml:space="preserve"> </w:t>
      </w:r>
    </w:p>
    <w:p w14:paraId="043CB5C8" w14:textId="77777777" w:rsidR="0023594D" w:rsidRPr="003118FD" w:rsidRDefault="00D86A66" w:rsidP="003118FD">
      <w:pPr>
        <w:pStyle w:val="Zwykytekst"/>
        <w:spacing w:line="276" w:lineRule="auto"/>
        <w:ind w:left="1125"/>
        <w:jc w:val="both"/>
      </w:pPr>
      <w:r w:rsidRPr="003118FD">
        <w:rPr>
          <w:rFonts w:ascii="Times New Roman" w:hAnsi="Times New Roman" w:cs="Times New Roman"/>
          <w:i/>
          <w:iCs/>
          <w:sz w:val="24"/>
          <w:szCs w:val="22"/>
        </w:rPr>
        <w:t xml:space="preserve">(str. 5 treści skargi, od </w:t>
      </w:r>
      <w:r w:rsidR="00C5215B" w:rsidRPr="003118FD">
        <w:rPr>
          <w:rFonts w:ascii="Times New Roman" w:hAnsi="Times New Roman" w:cs="Times New Roman"/>
          <w:i/>
          <w:iCs/>
          <w:sz w:val="24"/>
          <w:szCs w:val="22"/>
        </w:rPr>
        <w:t>siódmego</w:t>
      </w:r>
      <w:r w:rsidRPr="003118FD">
        <w:rPr>
          <w:rFonts w:ascii="Times New Roman" w:hAnsi="Times New Roman" w:cs="Times New Roman"/>
          <w:i/>
          <w:iCs/>
          <w:sz w:val="24"/>
          <w:szCs w:val="22"/>
        </w:rPr>
        <w:t xml:space="preserve"> akapitu)</w:t>
      </w:r>
      <w:r w:rsidRPr="003118FD">
        <w:rPr>
          <w:rFonts w:ascii="Times New Roman" w:hAnsi="Times New Roman" w:cs="Times New Roman"/>
          <w:sz w:val="24"/>
          <w:szCs w:val="22"/>
        </w:rPr>
        <w:t>.</w:t>
      </w:r>
    </w:p>
    <w:p w14:paraId="28167B25" w14:textId="77777777" w:rsidR="00FE1B7A" w:rsidRPr="003118FD" w:rsidRDefault="00D86A66" w:rsidP="003118FD">
      <w:pPr>
        <w:pStyle w:val="Zwykytekst"/>
        <w:spacing w:line="276" w:lineRule="auto"/>
        <w:ind w:left="1110"/>
        <w:jc w:val="both"/>
        <w:rPr>
          <w:sz w:val="22"/>
        </w:rPr>
      </w:pPr>
      <w:r w:rsidRPr="003118FD">
        <w:rPr>
          <w:rFonts w:ascii="Times New Roman" w:hAnsi="Times New Roman" w:cs="Times New Roman"/>
          <w:b/>
          <w:bCs/>
          <w:sz w:val="24"/>
          <w:szCs w:val="22"/>
        </w:rPr>
        <w:t>4.</w:t>
      </w:r>
      <w:r w:rsidRPr="003118FD">
        <w:rPr>
          <w:rFonts w:ascii="Times New Roman" w:hAnsi="Times New Roman" w:cs="Times New Roman"/>
          <w:sz w:val="24"/>
          <w:szCs w:val="22"/>
        </w:rPr>
        <w:t xml:space="preserve"> Dopuszczenie na całym obszarze planu lokalizacji infrastruktury technicznej bez określenia szczegółowego jej przebiegu i parametrów</w:t>
      </w:r>
      <w:r w:rsidRPr="003118FD">
        <w:rPr>
          <w:sz w:val="22"/>
        </w:rPr>
        <w:t xml:space="preserve"> </w:t>
      </w:r>
    </w:p>
    <w:p w14:paraId="017F0AD8" w14:textId="77777777" w:rsidR="0023594D" w:rsidRPr="003118FD" w:rsidRDefault="00C5215B" w:rsidP="003118FD">
      <w:pPr>
        <w:pStyle w:val="Zwykytekst"/>
        <w:spacing w:line="276" w:lineRule="auto"/>
        <w:ind w:left="1110"/>
        <w:jc w:val="both"/>
      </w:pPr>
      <w:r w:rsidRPr="003118FD">
        <w:rPr>
          <w:rFonts w:ascii="Times New Roman" w:hAnsi="Times New Roman" w:cs="Times New Roman"/>
          <w:i/>
          <w:iCs/>
          <w:sz w:val="24"/>
          <w:szCs w:val="22"/>
        </w:rPr>
        <w:t>(str. 7</w:t>
      </w:r>
      <w:r w:rsidR="00D86A66" w:rsidRPr="003118FD">
        <w:rPr>
          <w:rFonts w:ascii="Times New Roman" w:hAnsi="Times New Roman" w:cs="Times New Roman"/>
          <w:i/>
          <w:iCs/>
          <w:sz w:val="24"/>
          <w:szCs w:val="22"/>
        </w:rPr>
        <w:t xml:space="preserve"> treści skargi, od </w:t>
      </w:r>
      <w:r w:rsidRPr="003118FD">
        <w:rPr>
          <w:rFonts w:ascii="Times New Roman" w:hAnsi="Times New Roman" w:cs="Times New Roman"/>
          <w:i/>
          <w:iCs/>
          <w:sz w:val="24"/>
          <w:szCs w:val="22"/>
        </w:rPr>
        <w:t xml:space="preserve">pierwszego </w:t>
      </w:r>
      <w:r w:rsidR="00D86A66" w:rsidRPr="003118FD">
        <w:rPr>
          <w:rFonts w:ascii="Times New Roman" w:hAnsi="Times New Roman" w:cs="Times New Roman"/>
          <w:i/>
          <w:iCs/>
          <w:sz w:val="24"/>
          <w:szCs w:val="22"/>
        </w:rPr>
        <w:t>akapitu)</w:t>
      </w:r>
      <w:r w:rsidR="00D86A66" w:rsidRPr="003118FD">
        <w:rPr>
          <w:rFonts w:ascii="Times New Roman" w:hAnsi="Times New Roman" w:cs="Times New Roman"/>
          <w:sz w:val="24"/>
          <w:szCs w:val="22"/>
        </w:rPr>
        <w:t>.</w:t>
      </w:r>
    </w:p>
    <w:p w14:paraId="01CFB021" w14:textId="77777777" w:rsidR="00FE1B7A" w:rsidRPr="003118FD" w:rsidRDefault="00D86A66" w:rsidP="003118FD">
      <w:pPr>
        <w:pStyle w:val="Zwykytekst"/>
        <w:spacing w:line="276" w:lineRule="auto"/>
        <w:ind w:left="1110"/>
        <w:jc w:val="both"/>
        <w:rPr>
          <w:sz w:val="22"/>
        </w:rPr>
      </w:pPr>
      <w:r w:rsidRPr="003118FD">
        <w:rPr>
          <w:rFonts w:ascii="Times New Roman" w:hAnsi="Times New Roman" w:cs="Times New Roman"/>
          <w:b/>
          <w:bCs/>
          <w:sz w:val="24"/>
          <w:szCs w:val="22"/>
        </w:rPr>
        <w:t>5.</w:t>
      </w:r>
      <w:r w:rsidRPr="003118FD">
        <w:rPr>
          <w:rFonts w:ascii="Times New Roman" w:hAnsi="Times New Roman" w:cs="Times New Roman"/>
          <w:sz w:val="24"/>
          <w:szCs w:val="22"/>
        </w:rPr>
        <w:t xml:space="preserve"> Dopuszczenie na całym obszarze planu lokalizacji dojazdów, ciągów pieszo-jezdnych, ścieżek rowerowych, ciągów pieszych jako niezgodnego z zasadami przeznaczenia terenów dla dróg, </w:t>
      </w:r>
      <w:r w:rsidRPr="00102B6F">
        <w:rPr>
          <w:rFonts w:ascii="Times New Roman" w:hAnsi="Times New Roman" w:cs="Times New Roman"/>
          <w:sz w:val="24"/>
          <w:szCs w:val="22"/>
        </w:rPr>
        <w:t>a także w sposób trudny do jednoznacznego odczytania.</w:t>
      </w:r>
      <w:r w:rsidRPr="003118FD">
        <w:rPr>
          <w:sz w:val="22"/>
        </w:rPr>
        <w:t xml:space="preserve"> </w:t>
      </w:r>
    </w:p>
    <w:p w14:paraId="17A4832F" w14:textId="77777777" w:rsidR="0023594D" w:rsidRPr="003118FD" w:rsidRDefault="00D86A66" w:rsidP="003118FD">
      <w:pPr>
        <w:pStyle w:val="Zwykytekst"/>
        <w:spacing w:line="276" w:lineRule="auto"/>
        <w:ind w:left="1110"/>
        <w:jc w:val="both"/>
      </w:pPr>
      <w:r w:rsidRPr="003118FD">
        <w:rPr>
          <w:rFonts w:ascii="Times New Roman" w:hAnsi="Times New Roman" w:cs="Times New Roman"/>
          <w:i/>
          <w:iCs/>
          <w:sz w:val="24"/>
          <w:szCs w:val="22"/>
        </w:rPr>
        <w:t xml:space="preserve">(str. 7 treści skargi, od </w:t>
      </w:r>
      <w:r w:rsidR="00FE1B7A" w:rsidRPr="003118FD">
        <w:rPr>
          <w:rFonts w:ascii="Times New Roman" w:hAnsi="Times New Roman" w:cs="Times New Roman"/>
          <w:i/>
          <w:iCs/>
          <w:sz w:val="24"/>
          <w:szCs w:val="22"/>
        </w:rPr>
        <w:t xml:space="preserve">trzeciego </w:t>
      </w:r>
      <w:r w:rsidRPr="003118FD">
        <w:rPr>
          <w:rFonts w:ascii="Times New Roman" w:hAnsi="Times New Roman" w:cs="Times New Roman"/>
          <w:i/>
          <w:iCs/>
          <w:sz w:val="24"/>
          <w:szCs w:val="22"/>
        </w:rPr>
        <w:t>akapitu)</w:t>
      </w:r>
      <w:r w:rsidRPr="003118FD">
        <w:rPr>
          <w:rFonts w:ascii="Times New Roman" w:hAnsi="Times New Roman" w:cs="Times New Roman"/>
          <w:sz w:val="24"/>
          <w:szCs w:val="22"/>
        </w:rPr>
        <w:t>.</w:t>
      </w:r>
    </w:p>
    <w:p w14:paraId="1D4972F6" w14:textId="77777777" w:rsidR="00FE1B7A" w:rsidRPr="003118FD" w:rsidRDefault="00D86A66" w:rsidP="003118FD">
      <w:pPr>
        <w:pStyle w:val="Zwykytekst"/>
        <w:spacing w:line="276" w:lineRule="auto"/>
        <w:ind w:left="1110"/>
        <w:jc w:val="both"/>
        <w:rPr>
          <w:sz w:val="22"/>
        </w:rPr>
      </w:pPr>
      <w:r w:rsidRPr="003118FD">
        <w:rPr>
          <w:rFonts w:ascii="Times New Roman" w:hAnsi="Times New Roman" w:cs="Times New Roman"/>
          <w:b/>
          <w:bCs/>
          <w:sz w:val="24"/>
          <w:szCs w:val="22"/>
        </w:rPr>
        <w:t>6.</w:t>
      </w:r>
      <w:r w:rsidRPr="003118FD">
        <w:rPr>
          <w:rFonts w:ascii="Times New Roman" w:hAnsi="Times New Roman" w:cs="Times New Roman"/>
          <w:sz w:val="24"/>
          <w:szCs w:val="22"/>
        </w:rPr>
        <w:t xml:space="preserve"> Brak ustaleń w zakresie zasad podziału i scaleń</w:t>
      </w:r>
      <w:r w:rsidRPr="003118FD">
        <w:rPr>
          <w:sz w:val="22"/>
        </w:rPr>
        <w:t xml:space="preserve"> </w:t>
      </w:r>
    </w:p>
    <w:p w14:paraId="25CBFA22" w14:textId="77777777" w:rsidR="0023594D" w:rsidRPr="003118FD" w:rsidRDefault="00FE1B7A" w:rsidP="003118FD">
      <w:pPr>
        <w:pStyle w:val="Zwykytekst"/>
        <w:spacing w:line="276" w:lineRule="auto"/>
        <w:ind w:left="1110"/>
        <w:jc w:val="both"/>
      </w:pPr>
      <w:r w:rsidRPr="003118FD">
        <w:rPr>
          <w:rFonts w:ascii="Times New Roman" w:hAnsi="Times New Roman" w:cs="Times New Roman"/>
          <w:i/>
          <w:iCs/>
          <w:sz w:val="24"/>
          <w:szCs w:val="22"/>
        </w:rPr>
        <w:t>(str. 8</w:t>
      </w:r>
      <w:r w:rsidR="00D86A66" w:rsidRPr="003118FD">
        <w:rPr>
          <w:rFonts w:ascii="Times New Roman" w:hAnsi="Times New Roman" w:cs="Times New Roman"/>
          <w:i/>
          <w:iCs/>
          <w:sz w:val="24"/>
          <w:szCs w:val="22"/>
        </w:rPr>
        <w:t xml:space="preserve"> treści skargi, od </w:t>
      </w:r>
      <w:r w:rsidRPr="003118FD">
        <w:rPr>
          <w:rFonts w:ascii="Times New Roman" w:hAnsi="Times New Roman" w:cs="Times New Roman"/>
          <w:i/>
          <w:iCs/>
          <w:sz w:val="24"/>
          <w:szCs w:val="22"/>
        </w:rPr>
        <w:t xml:space="preserve">trzeciego </w:t>
      </w:r>
      <w:r w:rsidR="00D86A66" w:rsidRPr="003118FD">
        <w:rPr>
          <w:rFonts w:ascii="Times New Roman" w:hAnsi="Times New Roman" w:cs="Times New Roman"/>
          <w:i/>
          <w:iCs/>
          <w:sz w:val="24"/>
          <w:szCs w:val="22"/>
        </w:rPr>
        <w:t>akapitu)</w:t>
      </w:r>
      <w:r w:rsidR="00D86A66" w:rsidRPr="003118FD">
        <w:rPr>
          <w:rFonts w:ascii="Times New Roman" w:hAnsi="Times New Roman" w:cs="Times New Roman"/>
          <w:sz w:val="24"/>
          <w:szCs w:val="22"/>
        </w:rPr>
        <w:t>.</w:t>
      </w:r>
    </w:p>
    <w:p w14:paraId="1D47B35F" w14:textId="4EDDFB2B" w:rsidR="0023594D" w:rsidRPr="003118FD" w:rsidRDefault="00D86A66" w:rsidP="003118FD">
      <w:pPr>
        <w:pStyle w:val="Zwykytekst"/>
        <w:spacing w:line="276" w:lineRule="auto"/>
        <w:ind w:left="1110"/>
        <w:jc w:val="both"/>
      </w:pPr>
      <w:r w:rsidRPr="003118FD">
        <w:rPr>
          <w:rFonts w:ascii="Times New Roman" w:hAnsi="Times New Roman" w:cs="Times New Roman"/>
          <w:b/>
          <w:bCs/>
          <w:sz w:val="24"/>
          <w:szCs w:val="22"/>
        </w:rPr>
        <w:t>7.</w:t>
      </w:r>
      <w:r w:rsidRPr="003118FD">
        <w:rPr>
          <w:rFonts w:ascii="Times New Roman" w:hAnsi="Times New Roman" w:cs="Times New Roman"/>
          <w:sz w:val="24"/>
          <w:szCs w:val="22"/>
        </w:rPr>
        <w:t xml:space="preserve"> Brak pozwolenia na przeznaczenie terenów rolnych na cele nierolnicze </w:t>
      </w:r>
      <w:r w:rsidR="00E1112F">
        <w:rPr>
          <w:rFonts w:ascii="Times New Roman" w:hAnsi="Times New Roman" w:cs="Times New Roman"/>
          <w:sz w:val="24"/>
          <w:szCs w:val="22"/>
        </w:rPr>
        <w:br/>
      </w:r>
      <w:r w:rsidRPr="003118FD">
        <w:rPr>
          <w:rFonts w:ascii="Times New Roman" w:hAnsi="Times New Roman" w:cs="Times New Roman"/>
          <w:sz w:val="24"/>
          <w:szCs w:val="22"/>
        </w:rPr>
        <w:t>i nieleśne</w:t>
      </w:r>
      <w:r w:rsidRPr="003118FD">
        <w:rPr>
          <w:sz w:val="22"/>
        </w:rPr>
        <w:t xml:space="preserve"> </w:t>
      </w:r>
      <w:r w:rsidR="00FE1B7A" w:rsidRPr="003118FD">
        <w:rPr>
          <w:rFonts w:ascii="Times New Roman" w:hAnsi="Times New Roman" w:cs="Times New Roman"/>
          <w:i/>
          <w:iCs/>
          <w:sz w:val="24"/>
          <w:szCs w:val="22"/>
        </w:rPr>
        <w:t>(str. 9 treści skargi, od czwartego</w:t>
      </w:r>
      <w:r w:rsidRPr="003118FD">
        <w:rPr>
          <w:rFonts w:ascii="Times New Roman" w:hAnsi="Times New Roman" w:cs="Times New Roman"/>
          <w:i/>
          <w:iCs/>
          <w:sz w:val="24"/>
          <w:szCs w:val="22"/>
        </w:rPr>
        <w:t xml:space="preserve"> akapitu)</w:t>
      </w:r>
      <w:r w:rsidRPr="003118FD">
        <w:rPr>
          <w:rFonts w:ascii="Times New Roman" w:hAnsi="Times New Roman" w:cs="Times New Roman"/>
          <w:sz w:val="24"/>
          <w:szCs w:val="22"/>
        </w:rPr>
        <w:t>.</w:t>
      </w:r>
    </w:p>
    <w:p w14:paraId="62B90A81" w14:textId="77777777" w:rsidR="0023594D" w:rsidRPr="003118FD" w:rsidRDefault="0023594D" w:rsidP="003118FD">
      <w:pPr>
        <w:pStyle w:val="Zwykytekst"/>
        <w:spacing w:line="276" w:lineRule="auto"/>
        <w:ind w:left="1095"/>
        <w:jc w:val="both"/>
      </w:pPr>
    </w:p>
    <w:p w14:paraId="6FD4E7E4" w14:textId="77777777" w:rsidR="0023594D" w:rsidRPr="003118FD" w:rsidRDefault="00D86A66" w:rsidP="003118FD">
      <w:pPr>
        <w:pStyle w:val="Zwykytekst"/>
        <w:spacing w:line="276" w:lineRule="auto"/>
        <w:jc w:val="both"/>
      </w:pPr>
      <w:r w:rsidRPr="003118FD">
        <w:rPr>
          <w:rFonts w:ascii="Times New Roman" w:hAnsi="Times New Roman" w:cs="Times New Roman"/>
          <w:sz w:val="24"/>
          <w:szCs w:val="22"/>
        </w:rPr>
        <w:t>Z tak sformułowanymi zarzutami nie można się jednak zgodzić. Odnosząc się do nich podnieść należy, co następuje:</w:t>
      </w:r>
    </w:p>
    <w:p w14:paraId="55D10313" w14:textId="77777777" w:rsidR="0023594D" w:rsidRPr="003118FD" w:rsidRDefault="00D86A66" w:rsidP="003118FD">
      <w:pPr>
        <w:pStyle w:val="Standard"/>
        <w:jc w:val="both"/>
      </w:pPr>
      <w:r w:rsidRPr="003118FD">
        <w:rPr>
          <w:rFonts w:cs="Times New Roman"/>
          <w:b/>
        </w:rPr>
        <w:t>Ad. 1 i 2</w:t>
      </w:r>
    </w:p>
    <w:p w14:paraId="4E6FC372" w14:textId="34F99210" w:rsidR="0023594D" w:rsidRPr="003118FD" w:rsidRDefault="00D86A66" w:rsidP="003118FD">
      <w:pPr>
        <w:pStyle w:val="Standard"/>
        <w:jc w:val="both"/>
      </w:pPr>
      <w:r w:rsidRPr="003118FD">
        <w:rPr>
          <w:rFonts w:cs="Times New Roman"/>
          <w:bCs/>
        </w:rPr>
        <w:t xml:space="preserve">Uchwała Nr </w:t>
      </w:r>
      <w:r w:rsidRPr="003118FD">
        <w:rPr>
          <w:rFonts w:cs="Times New Roman"/>
          <w:lang w:eastAsia="pl-PL"/>
        </w:rPr>
        <w:t>XXV/14</w:t>
      </w:r>
      <w:r w:rsidRPr="00102B6F">
        <w:rPr>
          <w:rFonts w:cs="Times New Roman"/>
          <w:lang w:eastAsia="pl-PL"/>
        </w:rPr>
        <w:t>8</w:t>
      </w:r>
      <w:r w:rsidRPr="003118FD">
        <w:rPr>
          <w:rFonts w:cs="Times New Roman"/>
          <w:lang w:eastAsia="pl-PL"/>
        </w:rPr>
        <w:t>/2021</w:t>
      </w:r>
      <w:r w:rsidRPr="003118FD">
        <w:rPr>
          <w:rFonts w:cs="Times New Roman"/>
          <w:b/>
          <w:bCs/>
          <w:lang w:eastAsia="pl-PL"/>
        </w:rPr>
        <w:t xml:space="preserve"> </w:t>
      </w:r>
      <w:r w:rsidRPr="003118FD">
        <w:rPr>
          <w:rFonts w:cs="Times New Roman"/>
          <w:bCs/>
        </w:rPr>
        <w:t xml:space="preserve">Rady Gminy Gronowo Elbląskie </w:t>
      </w:r>
      <w:r w:rsidRPr="003118FD">
        <w:rPr>
          <w:rFonts w:cs="Times New Roman"/>
          <w:lang w:eastAsia="pl-PL"/>
        </w:rPr>
        <w:t xml:space="preserve">z dnia 19 maja 2021 r. </w:t>
      </w:r>
      <w:r w:rsidR="00E1112F">
        <w:rPr>
          <w:rFonts w:cs="Times New Roman"/>
          <w:lang w:eastAsia="pl-PL"/>
        </w:rPr>
        <w:br/>
      </w:r>
      <w:r w:rsidRPr="003118FD">
        <w:rPr>
          <w:rFonts w:cs="Times New Roman"/>
          <w:b/>
          <w:bCs/>
          <w:lang w:eastAsia="pl-PL"/>
        </w:rPr>
        <w:t xml:space="preserve">w sprawie uchwalenia miejscowego planu zagospodarowania przestrzennego </w:t>
      </w:r>
      <w:r w:rsidRPr="003118FD">
        <w:rPr>
          <w:rFonts w:cs="Times New Roman"/>
          <w:b/>
        </w:rPr>
        <w:t xml:space="preserve">gminy </w:t>
      </w:r>
      <w:r w:rsidRPr="003118FD">
        <w:rPr>
          <w:rFonts w:cs="Times New Roman"/>
          <w:b/>
          <w:lang w:eastAsia="pl-PL"/>
        </w:rPr>
        <w:t>Gronowo Elbląskie</w:t>
      </w:r>
      <w:r w:rsidRPr="003118FD">
        <w:rPr>
          <w:rFonts w:cs="Times New Roman"/>
        </w:rPr>
        <w:t xml:space="preserve"> </w:t>
      </w:r>
      <w:r w:rsidRPr="00102B6F">
        <w:rPr>
          <w:rFonts w:cs="Times New Roman"/>
          <w:b/>
        </w:rPr>
        <w:t>w miejscowości Wikrowo</w:t>
      </w:r>
      <w:r w:rsidRPr="003118FD">
        <w:rPr>
          <w:rFonts w:cs="Times New Roman"/>
          <w:b/>
          <w:bCs/>
          <w:lang w:eastAsia="pl-PL"/>
        </w:rPr>
        <w:t xml:space="preserve"> </w:t>
      </w:r>
      <w:r w:rsidRPr="003118FD">
        <w:rPr>
          <w:rFonts w:cs="Times New Roman"/>
          <w:u w:val="single"/>
          <w:lang w:eastAsia="pl-PL"/>
        </w:rPr>
        <w:t>w pełni</w:t>
      </w:r>
      <w:r w:rsidRPr="003118FD">
        <w:rPr>
          <w:rFonts w:cs="Times New Roman"/>
          <w:b/>
          <w:bCs/>
          <w:lang w:eastAsia="pl-PL"/>
        </w:rPr>
        <w:t xml:space="preserve"> </w:t>
      </w:r>
      <w:r w:rsidRPr="003118FD">
        <w:rPr>
          <w:rFonts w:cs="Times New Roman"/>
          <w:lang w:eastAsia="pl-PL"/>
        </w:rPr>
        <w:t>respektuje treść Rozporządzenia Ministra Infrastruktury z dnia 26 sierpnia 2003 roku ws. wymaganego zakresu projektu miejscowego planu zagospodarowania przestrzennego (Dz. U. z 2003 r., Nr 164, poz. 1587), również z zakresie § 8, ust. 2, w tym ustalenia § 4 ust. 1.</w:t>
      </w:r>
    </w:p>
    <w:p w14:paraId="30A9DA8F" w14:textId="77777777" w:rsidR="0023594D" w:rsidRPr="003118FD" w:rsidRDefault="00D86A66" w:rsidP="003118FD">
      <w:pPr>
        <w:pStyle w:val="Standard"/>
        <w:spacing w:line="276" w:lineRule="auto"/>
        <w:jc w:val="both"/>
      </w:pPr>
      <w:r w:rsidRPr="003118FD">
        <w:rPr>
          <w:rFonts w:cs="Times New Roman"/>
          <w:szCs w:val="22"/>
          <w:lang w:eastAsia="pl-PL"/>
        </w:rPr>
        <w:t xml:space="preserve">Miejscowy plan zagospodarowania przestrzennego (dalej: mpzp) w Rozdziale 2. </w:t>
      </w:r>
      <w:r w:rsidRPr="003118FD">
        <w:rPr>
          <w:rFonts w:cs="Times New Roman"/>
          <w:i/>
          <w:iCs/>
          <w:szCs w:val="22"/>
          <w:lang w:eastAsia="pl-PL"/>
        </w:rPr>
        <w:t>Ustalenia ogólne dla całego obszaru objętego planem</w:t>
      </w:r>
      <w:r w:rsidRPr="003118FD">
        <w:rPr>
          <w:rFonts w:cs="Times New Roman"/>
          <w:szCs w:val="22"/>
          <w:lang w:eastAsia="pl-PL"/>
        </w:rPr>
        <w:t xml:space="preserve">, w § 4 pkt 2 lit. a), oraz na zał. nr 1 do uchwały (rysunku planu – na podkładzie mapowym oraz w oznaczeniach) ustala jednoznacznie tereny oznaczone symbolem literowych MN,U – teren zabudowy mieszkaniowej jednorodzinnej, teren zabudowy usługowej z zakresu usług nieuciążliwych, a także </w:t>
      </w:r>
      <w:r w:rsidRPr="003118FD">
        <w:rPr>
          <w:rFonts w:cs="Times New Roman"/>
          <w:szCs w:val="22"/>
        </w:rPr>
        <w:t>UK/MN – teren zabudowy usług kultury z zabudową mieszkaniową jednorodzinną jako funkcją towarzyszącą zabudowie usługowej</w:t>
      </w:r>
      <w:r w:rsidRPr="003118FD">
        <w:rPr>
          <w:rFonts w:cs="Times New Roman"/>
          <w:szCs w:val="22"/>
          <w:lang w:eastAsia="pl-PL"/>
        </w:rPr>
        <w:t>.</w:t>
      </w:r>
    </w:p>
    <w:p w14:paraId="7F327A3C" w14:textId="656549CD" w:rsidR="0023594D" w:rsidRPr="003118FD" w:rsidRDefault="00D86A66" w:rsidP="003118FD">
      <w:pPr>
        <w:pStyle w:val="Standard"/>
        <w:jc w:val="both"/>
      </w:pPr>
      <w:r w:rsidRPr="003118FD">
        <w:rPr>
          <w:rFonts w:cs="Times New Roman"/>
          <w:lang w:eastAsia="pl-PL"/>
        </w:rPr>
        <w:t xml:space="preserve">Ustalenia mpzp w </w:t>
      </w:r>
      <w:r w:rsidRPr="003118FD">
        <w:rPr>
          <w:rFonts w:ascii="TimesNewRomanPS-BoldMT" w:hAnsi="TimesNewRomanPS-BoldMT" w:cs="TimesNewRomanPS-BoldMT"/>
          <w:lang w:eastAsia="pl-PL"/>
        </w:rPr>
        <w:t>§ 17</w:t>
      </w:r>
      <w:r w:rsidRPr="003118FD">
        <w:rPr>
          <w:rFonts w:ascii="TimesNewRomanPS-BoldMT" w:hAnsi="TimesNewRomanPS-BoldMT" w:cs="TimesNewRomanPS-BoldMT"/>
          <w:b/>
          <w:bCs/>
          <w:lang w:eastAsia="pl-PL"/>
        </w:rPr>
        <w:t xml:space="preserve"> </w:t>
      </w:r>
      <w:r w:rsidRPr="003118FD">
        <w:rPr>
          <w:rFonts w:cs="Times New Roman"/>
          <w:lang w:eastAsia="pl-PL"/>
        </w:rPr>
        <w:t xml:space="preserve">ust. 1, 3, 4, 5, 6, 7, 8 pkt 2 lit. f tiret 3 i 2 dopuszczają rozbudowę </w:t>
      </w:r>
      <w:r w:rsidRPr="003118FD">
        <w:rPr>
          <w:rFonts w:cs="Times New Roman"/>
          <w:u w:val="single"/>
          <w:lang w:eastAsia="pl-PL"/>
        </w:rPr>
        <w:t>wyłącznie dla istniejących</w:t>
      </w:r>
      <w:r w:rsidRPr="003118FD">
        <w:rPr>
          <w:rFonts w:cs="Times New Roman"/>
          <w:lang w:eastAsia="pl-PL"/>
        </w:rPr>
        <w:t xml:space="preserve"> siedlisk zabudowy zagrodowej, w tym obiektów do składowania </w:t>
      </w:r>
      <w:r w:rsidR="00E1112F">
        <w:rPr>
          <w:rFonts w:cs="Times New Roman"/>
          <w:lang w:eastAsia="pl-PL"/>
        </w:rPr>
        <w:br/>
      </w:r>
      <w:r w:rsidRPr="003118FD">
        <w:rPr>
          <w:rFonts w:cs="Times New Roman"/>
          <w:lang w:eastAsia="pl-PL"/>
        </w:rPr>
        <w:t>w ramach przechowywania produktów i wyrobów przetwórstwa rolno – spożywczego.</w:t>
      </w:r>
    </w:p>
    <w:p w14:paraId="4E884B47" w14:textId="77777777" w:rsidR="0023594D" w:rsidRPr="003118FD" w:rsidRDefault="00D86A66" w:rsidP="003118FD">
      <w:pPr>
        <w:pStyle w:val="Standard"/>
        <w:jc w:val="both"/>
      </w:pPr>
      <w:r w:rsidRPr="003118FD">
        <w:rPr>
          <w:rFonts w:cs="Times New Roman"/>
          <w:lang w:eastAsia="pl-PL"/>
        </w:rPr>
        <w:t>Gmina korzysta z przysługującego jej władztwa planistycznego w sposób właściwy uzasadniając to tym, że:</w:t>
      </w:r>
    </w:p>
    <w:p w14:paraId="5DBCC9D1" w14:textId="4CE17FC7" w:rsidR="0023594D" w:rsidRPr="003118FD" w:rsidRDefault="00D86A66" w:rsidP="003118FD">
      <w:pPr>
        <w:pStyle w:val="Standard"/>
        <w:jc w:val="both"/>
      </w:pPr>
      <w:r w:rsidRPr="003118FD">
        <w:rPr>
          <w:rFonts w:cs="Times New Roman"/>
          <w:lang w:eastAsia="pl-PL"/>
        </w:rPr>
        <w:t xml:space="preserve">a) kontynuuje, ale i doprecyzowuje przeznaczenie ustalone w Uchwale Nr XXIII/200/01 Rady Gminy Gronowo Elbląskie z dnia 24 sierpnia 2001 roku w sprawie miejscowego planu zagospodarowania przestrzennego gminy Gronowo Elbląskie, gdzie wymienione w skardze </w:t>
      </w:r>
      <w:r w:rsidRPr="003118FD">
        <w:rPr>
          <w:rFonts w:cs="Times New Roman"/>
          <w:lang w:eastAsia="pl-PL"/>
        </w:rPr>
        <w:lastRenderedPageBreak/>
        <w:t xml:space="preserve">tereny: MN,U oraz UK/MN w dotychczas obowiązującym mpzp z 2001 roku, w § 55 tekstu planu, przeznacza się pod tzw. „funkcję podstawową – tereny rolne, dla obszarów oznaczonych symbolem T-9”, zaś w ust. 3 pkt 4 wymienionego paragrafu dopuszcza się </w:t>
      </w:r>
      <w:r w:rsidR="00E1112F">
        <w:rPr>
          <w:rFonts w:cs="Times New Roman"/>
          <w:lang w:eastAsia="pl-PL"/>
        </w:rPr>
        <w:br/>
      </w:r>
      <w:r w:rsidRPr="003118FD">
        <w:rPr>
          <w:rFonts w:cs="Times New Roman"/>
          <w:lang w:eastAsia="pl-PL"/>
        </w:rPr>
        <w:t>„w obrębie istniejących zagród i ich otoczenia możliwość wprowadzenia działalności gospo</w:t>
      </w:r>
      <w:r w:rsidR="00AC7B74" w:rsidRPr="003118FD">
        <w:rPr>
          <w:rFonts w:cs="Times New Roman"/>
          <w:lang w:eastAsia="pl-PL"/>
        </w:rPr>
        <w:t>darczej, funkcji mieszkalnych i </w:t>
      </w:r>
      <w:r w:rsidRPr="003118FD">
        <w:rPr>
          <w:rFonts w:cs="Times New Roman"/>
          <w:lang w:eastAsia="pl-PL"/>
        </w:rPr>
        <w:t>turystycznych”.</w:t>
      </w:r>
    </w:p>
    <w:p w14:paraId="2E974DC3" w14:textId="01EFC459" w:rsidR="0023594D" w:rsidRPr="003118FD" w:rsidRDefault="00D86A66" w:rsidP="003118FD">
      <w:pPr>
        <w:pStyle w:val="Standard"/>
        <w:jc w:val="both"/>
      </w:pPr>
      <w:r w:rsidRPr="003118FD">
        <w:rPr>
          <w:rFonts w:cs="Times New Roman"/>
          <w:lang w:eastAsia="pl-PL"/>
        </w:rPr>
        <w:t>W przedmiotowym uchwalonym mpzp Gmina Gronowo Elbląskie postanowiła jeszcze bardziej sprecyzować relacje wynikające z ładu przestrzenneg</w:t>
      </w:r>
      <w:r w:rsidR="00FE1B7A" w:rsidRPr="003118FD">
        <w:rPr>
          <w:rFonts w:cs="Times New Roman"/>
          <w:lang w:eastAsia="pl-PL"/>
        </w:rPr>
        <w:t>o (art. 2 ustawy o planowaniu i </w:t>
      </w:r>
      <w:r w:rsidRPr="003118FD">
        <w:rPr>
          <w:rFonts w:cs="Times New Roman"/>
          <w:lang w:eastAsia="pl-PL"/>
        </w:rPr>
        <w:t xml:space="preserve">zagospodarowaniu przestrzennych – dalej: uopizp), który rozumie się poprzez takie ukształtowanie przestrzeni, które tworzy harmonijną całość oraz uwzględnia w uporządkowanych relacjach wszelkie uwarunkowania i wymagania funkcjonalne, społeczno-gospodarcze, środowiskowe, kulturowe oraz kompozycyjno-estetyczne. Trudno byłoby bezkrytycznie pozbawić praw nabytych tereny istniejących siedlisk zabudowy zagrodowej, co do możliwości realizacji np. zabudowy mieszkaniowej, czy też usługowej </w:t>
      </w:r>
      <w:r w:rsidR="00E1112F">
        <w:rPr>
          <w:rFonts w:cs="Times New Roman"/>
          <w:lang w:eastAsia="pl-PL"/>
        </w:rPr>
        <w:br/>
      </w:r>
      <w:r w:rsidRPr="003118FD">
        <w:rPr>
          <w:rFonts w:cs="Times New Roman"/>
          <w:lang w:eastAsia="pl-PL"/>
        </w:rPr>
        <w:t xml:space="preserve">w jej otoczeniu (mpzp z 2001 roku nie określa, czym jest „otoczenie”, tak więc należy przyjąć, że ustalenie to obowiązuje na rozległych powierzchniach terenów oznaczonych symbolem T-9). </w:t>
      </w:r>
    </w:p>
    <w:p w14:paraId="7D8F0ED3" w14:textId="77777777" w:rsidR="0023594D" w:rsidRPr="003118FD" w:rsidRDefault="0023594D" w:rsidP="003118FD">
      <w:pPr>
        <w:pStyle w:val="Standard"/>
        <w:jc w:val="both"/>
        <w:rPr>
          <w:rFonts w:cs="Times New Roman"/>
          <w:lang w:eastAsia="pl-PL"/>
        </w:rPr>
      </w:pPr>
    </w:p>
    <w:p w14:paraId="74389E73" w14:textId="77777777" w:rsidR="0023594D" w:rsidRPr="003118FD" w:rsidRDefault="00D86A66" w:rsidP="003118FD">
      <w:pPr>
        <w:pStyle w:val="Standard"/>
        <w:jc w:val="both"/>
      </w:pPr>
      <w:r w:rsidRPr="003118FD">
        <w:rPr>
          <w:rFonts w:cs="Times New Roman"/>
          <w:lang w:eastAsia="pl-PL"/>
        </w:rPr>
        <w:t xml:space="preserve">b) ustalone w uchwale Nr XXV/148/2021 Rady Gminy Gronowo Elbląskie z dnia 19 maja 2021 r. w sprawie uchwalenia miejscowego planu zagospodarowania przestrzennego </w:t>
      </w:r>
      <w:r w:rsidRPr="003118FD">
        <w:rPr>
          <w:rFonts w:cs="Times New Roman"/>
        </w:rPr>
        <w:t xml:space="preserve">gminy </w:t>
      </w:r>
      <w:r w:rsidRPr="003118FD">
        <w:rPr>
          <w:rFonts w:cs="Times New Roman"/>
          <w:lang w:eastAsia="pl-PL"/>
        </w:rPr>
        <w:t>Gronowo Elbląskie</w:t>
      </w:r>
      <w:r w:rsidRPr="003118FD">
        <w:rPr>
          <w:rFonts w:cs="Times New Roman"/>
        </w:rPr>
        <w:t xml:space="preserve"> w miejscowości Wikrowo</w:t>
      </w:r>
      <w:r w:rsidRPr="003118FD">
        <w:rPr>
          <w:rFonts w:cs="Times New Roman"/>
          <w:lang w:eastAsia="pl-PL"/>
        </w:rPr>
        <w:t xml:space="preserve"> przeznaczenie pod tereny: zabudowy mieszkaniowej jednorodzinnej, zabudowy usługowej z zakresu usług nieuciążliwych, oznaczone symbolem literowym MN,U, ustalają warunki dla nowej zabudowy, co jest jednoznaczne. W ustaleniach szczegółowych dla poszczególnych terenów MN,U sprecyzowano warunki dla dotychczasowego zagospodarowania, wyłącznie istniejących siedlisk rolniczych, poprzez możliwość rozbudowy oraz dopuszczenia agroturystyki.</w:t>
      </w:r>
    </w:p>
    <w:p w14:paraId="3B238DE6" w14:textId="77777777" w:rsidR="0023594D" w:rsidRPr="003118FD" w:rsidRDefault="00D86A66" w:rsidP="003118FD">
      <w:pPr>
        <w:pStyle w:val="Standard"/>
        <w:jc w:val="both"/>
      </w:pPr>
      <w:r w:rsidRPr="003118FD">
        <w:rPr>
          <w:rFonts w:cs="Times New Roman"/>
          <w:lang w:eastAsia="pl-PL"/>
        </w:rPr>
        <w:t xml:space="preserve">Należy nadmienić, iż rozbudowa istniejących siedlisk zabudowy zagrodowej w terenach oznaczonych symbolami: MN,U oraz UK/MN, w tym obiektów do składowania w ramach przechowywania produktów i wyrobów przetwórstwa rolno-spożywczego, a także dopuszczenie gospodarstw agroturystycznych </w:t>
      </w:r>
      <w:r w:rsidR="00AC7B74" w:rsidRPr="003118FD">
        <w:rPr>
          <w:rFonts w:cs="Times New Roman"/>
          <w:lang w:eastAsia="pl-PL"/>
        </w:rPr>
        <w:t xml:space="preserve">na terenach MN,U, </w:t>
      </w:r>
      <w:r w:rsidRPr="003118FD">
        <w:rPr>
          <w:rFonts w:cs="Times New Roman"/>
          <w:lang w:eastAsia="pl-PL"/>
        </w:rPr>
        <w:t>odbywać się będzie wyłącznie w granicach nieruchomości, do której tytuł posiada władający oraz na warunkach ustalonych w planie. Zatem funkcja zabudowy siedliskowej nie jest docelowym przeznaczeniem terenów, lecz jedynie formą usankcjonowania tego typu istniejącej zabudowy.</w:t>
      </w:r>
    </w:p>
    <w:p w14:paraId="5E078E97" w14:textId="77777777" w:rsidR="0023594D" w:rsidRPr="003118FD" w:rsidRDefault="0023594D" w:rsidP="003118FD">
      <w:pPr>
        <w:pStyle w:val="Standard"/>
        <w:spacing w:line="276" w:lineRule="auto"/>
        <w:ind w:left="1095"/>
        <w:jc w:val="both"/>
      </w:pPr>
    </w:p>
    <w:p w14:paraId="62F60F1F" w14:textId="34830963" w:rsidR="0023594D" w:rsidRPr="003118FD" w:rsidRDefault="00D86A66" w:rsidP="003118FD">
      <w:pPr>
        <w:pStyle w:val="Standard"/>
        <w:jc w:val="both"/>
      </w:pPr>
      <w:r w:rsidRPr="003118FD">
        <w:rPr>
          <w:rFonts w:cs="Times New Roman"/>
          <w:szCs w:val="22"/>
          <w:lang w:eastAsia="pl-PL"/>
        </w:rPr>
        <w:t xml:space="preserve">Skarżący przedmiotową uchwałę Rady Gminy Gronowo Elbląskie powołując się na art. 15 ust. 2 uopizp, oraz § 7 ust. 7 Rozp. Ministra Infrastruktury z dnia 26 sierpnia 2003 roku </w:t>
      </w:r>
      <w:r w:rsidR="00E1112F">
        <w:rPr>
          <w:rFonts w:cs="Times New Roman"/>
          <w:szCs w:val="22"/>
          <w:lang w:eastAsia="pl-PL"/>
        </w:rPr>
        <w:br/>
      </w:r>
      <w:r w:rsidRPr="003118FD">
        <w:rPr>
          <w:rFonts w:cs="Times New Roman"/>
          <w:szCs w:val="22"/>
          <w:lang w:eastAsia="pl-PL"/>
        </w:rPr>
        <w:t>ws. wymaganego zakresu projektu miejscowego planu zagospodarowania przestrzennego (Dz. U. z 2003 r., Nr 164, poz. 1587) próbuje wywieść, iż plan powinien każdorazowo rozdzielać poszczególne funkcje, ale to § 9. ust. 4. Stanowi, iż  „</w:t>
      </w:r>
      <w:r w:rsidRPr="003118FD">
        <w:rPr>
          <w:rFonts w:cs="Times New Roman"/>
          <w:i/>
          <w:iCs/>
          <w:szCs w:val="22"/>
          <w:lang w:eastAsia="pl-PL"/>
        </w:rPr>
        <w:t>w zależności od specyfiki</w:t>
      </w:r>
      <w:r w:rsidR="00E1112F">
        <w:rPr>
          <w:rFonts w:cs="Times New Roman"/>
          <w:i/>
          <w:iCs/>
          <w:szCs w:val="22"/>
          <w:lang w:eastAsia="pl-PL"/>
        </w:rPr>
        <w:br/>
      </w:r>
      <w:r w:rsidRPr="003118FD">
        <w:rPr>
          <w:rFonts w:cs="Times New Roman"/>
          <w:i/>
          <w:iCs/>
          <w:szCs w:val="22"/>
          <w:lang w:eastAsia="pl-PL"/>
        </w:rPr>
        <w:t xml:space="preserve">i zakresu ustaleń dotyczących przeznaczenia terenów oraz granic i linii regulacyjnych, dopuszcza się stosowanie na projekcie rysunku planu miejscowego uzupełniających </w:t>
      </w:r>
      <w:r w:rsidR="00E1112F">
        <w:rPr>
          <w:rFonts w:cs="Times New Roman"/>
          <w:i/>
          <w:iCs/>
          <w:szCs w:val="22"/>
          <w:lang w:eastAsia="pl-PL"/>
        </w:rPr>
        <w:br/>
      </w:r>
      <w:r w:rsidRPr="003118FD">
        <w:rPr>
          <w:rFonts w:cs="Times New Roman"/>
          <w:i/>
          <w:iCs/>
          <w:szCs w:val="22"/>
          <w:lang w:eastAsia="pl-PL"/>
        </w:rPr>
        <w:t>i mieszanych oznaczeń barwnych i jednobarwnych oraz literowych i cyfrowych.</w:t>
      </w:r>
      <w:r w:rsidRPr="003118FD">
        <w:rPr>
          <w:rFonts w:cs="Times New Roman"/>
          <w:szCs w:val="22"/>
          <w:lang w:eastAsia="pl-PL"/>
        </w:rPr>
        <w:t xml:space="preserve">”, czyli dopuszcza się łączenie różnych podstawowych przeznaczeń terenów. Mpzp ustala czytelne i jednolite zasady dla poszczególnych terenów i nie ma w nim miejsca na uznaniowość. </w:t>
      </w:r>
      <w:r w:rsidR="00E1112F">
        <w:rPr>
          <w:rFonts w:cs="Times New Roman"/>
          <w:szCs w:val="22"/>
          <w:lang w:eastAsia="pl-PL"/>
        </w:rPr>
        <w:br/>
      </w:r>
      <w:r w:rsidRPr="003118FD">
        <w:rPr>
          <w:rFonts w:cs="Times New Roman"/>
          <w:szCs w:val="22"/>
          <w:lang w:eastAsia="pl-PL"/>
        </w:rPr>
        <w:t>W terenach: MN,U oraz UK/MN ustalone funkcje są dopuszczane na całych obszarach. Plan dopuszcza – w zgodzie z art. 35 uopizp – również kontynuację dotychczasowego zainwestowania, z możliwością dalszego rozwoju/rozrostu gospodarstwa rolnego w terenach: MN,U oraz UK/MN, w granicach nieruchomości, do której władający posiada tytuł.</w:t>
      </w:r>
    </w:p>
    <w:p w14:paraId="14AEF10E" w14:textId="77777777" w:rsidR="0023594D" w:rsidRPr="003118FD" w:rsidRDefault="00D86A66" w:rsidP="003118FD">
      <w:pPr>
        <w:pStyle w:val="Standard"/>
        <w:jc w:val="both"/>
      </w:pPr>
      <w:r w:rsidRPr="003118FD">
        <w:rPr>
          <w:rFonts w:cs="Times New Roman"/>
          <w:lang w:eastAsia="pl-PL"/>
        </w:rPr>
        <w:t>Jeśli chodzi o dopuszczenie tzw. „agroturystyki”, to jest ona ustrojowo przypisana wyłącznie gospodarstw</w:t>
      </w:r>
      <w:r w:rsidR="00AC7B74" w:rsidRPr="003118FD">
        <w:rPr>
          <w:rFonts w:cs="Times New Roman"/>
          <w:lang w:eastAsia="pl-PL"/>
        </w:rPr>
        <w:t xml:space="preserve">om rolniczym, gdzie w terenach </w:t>
      </w:r>
      <w:r w:rsidRPr="003118FD">
        <w:rPr>
          <w:rFonts w:cs="Times New Roman"/>
          <w:lang w:eastAsia="pl-PL"/>
        </w:rPr>
        <w:t xml:space="preserve">MN,U dotyczy to przypadku </w:t>
      </w:r>
      <w:r w:rsidRPr="003118FD">
        <w:rPr>
          <w:rFonts w:cs="Times New Roman"/>
          <w:u w:val="single"/>
          <w:lang w:eastAsia="pl-PL"/>
        </w:rPr>
        <w:t>istniejącej</w:t>
      </w:r>
      <w:r w:rsidRPr="003118FD">
        <w:rPr>
          <w:rFonts w:cs="Times New Roman"/>
          <w:lang w:eastAsia="pl-PL"/>
        </w:rPr>
        <w:t xml:space="preserve"> zabudowy siedliskowej.</w:t>
      </w:r>
    </w:p>
    <w:p w14:paraId="166262EE" w14:textId="5496409F" w:rsidR="0023594D" w:rsidRPr="003118FD" w:rsidRDefault="00D86A66" w:rsidP="003118FD">
      <w:pPr>
        <w:pStyle w:val="Standard"/>
        <w:jc w:val="both"/>
      </w:pPr>
      <w:r w:rsidRPr="003118FD">
        <w:rPr>
          <w:rFonts w:cs="Times New Roman"/>
        </w:rPr>
        <w:lastRenderedPageBreak/>
        <w:t>Zarzut dotyczący niejednoznacznego określenia „gospodarstwa agroturystycznego” jest bezpodstawny. Właśnie z powodu braku cyt.:</w:t>
      </w:r>
      <w:r w:rsidR="00E1112F">
        <w:rPr>
          <w:rFonts w:cs="Times New Roman"/>
        </w:rPr>
        <w:t xml:space="preserve"> </w:t>
      </w:r>
      <w:r w:rsidRPr="003118FD">
        <w:rPr>
          <w:rFonts w:cs="Times New Roman"/>
        </w:rPr>
        <w:t xml:space="preserve">„ustawowej definicji terminu agroturystyka </w:t>
      </w:r>
      <w:r w:rsidR="00E1112F">
        <w:rPr>
          <w:rFonts w:cs="Times New Roman"/>
        </w:rPr>
        <w:br/>
      </w:r>
      <w:r w:rsidRPr="003118FD">
        <w:rPr>
          <w:rFonts w:cs="Times New Roman"/>
        </w:rPr>
        <w:t>w przedmiotowym planie”, pojęcie to zostało wyjaśnione w § 3 pkt 3) uchwały, jako rodzaj usługi zgodnie z przeznaczeniem wyznaczonego terenu w planie:</w:t>
      </w:r>
    </w:p>
    <w:p w14:paraId="577A0AD1" w14:textId="77777777" w:rsidR="0023594D" w:rsidRPr="003118FD" w:rsidRDefault="00D86A66" w:rsidP="003118FD">
      <w:pPr>
        <w:pStyle w:val="Standard"/>
        <w:spacing w:line="276" w:lineRule="auto"/>
        <w:jc w:val="both"/>
      </w:pPr>
      <w:r w:rsidRPr="003118FD">
        <w:rPr>
          <w:rFonts w:cs="Times New Roman"/>
          <w:lang w:eastAsia="pl-PL"/>
        </w:rPr>
        <w:t>cyt</w:t>
      </w:r>
      <w:r w:rsidRPr="003118FD">
        <w:rPr>
          <w:rFonts w:cs="Times New Roman"/>
          <w:b/>
          <w:lang w:eastAsia="pl-PL"/>
        </w:rPr>
        <w:t>.: „gospodarstwo agroturystyczne</w:t>
      </w:r>
      <w:r w:rsidRPr="003118FD">
        <w:rPr>
          <w:rFonts w:cs="Times New Roman"/>
          <w:lang w:eastAsia="pl-PL"/>
        </w:rPr>
        <w:t xml:space="preserve"> - usługi turystyczne w formie wynajmowanych budynków, pokoi i miejsc na ustawienie namiotów </w:t>
      </w:r>
      <w:r w:rsidRPr="003118FD">
        <w:rPr>
          <w:rFonts w:cs="Times New Roman"/>
          <w:u w:val="single"/>
          <w:lang w:eastAsia="pl-PL"/>
        </w:rPr>
        <w:t>w prowadzonych gospodarstwach rolnych</w:t>
      </w:r>
      <w:r w:rsidRPr="003118FD">
        <w:rPr>
          <w:rFonts w:cs="Times New Roman"/>
          <w:lang w:eastAsia="pl-PL"/>
        </w:rPr>
        <w:t xml:space="preserve"> oraz świadczenia innych usług związanych z pobytem turystów (np. rekreacja ruchowa, sprzedaż posiłków domowych).</w:t>
      </w:r>
    </w:p>
    <w:p w14:paraId="7FFDE344" w14:textId="03EF2C80" w:rsidR="0023594D" w:rsidRPr="003118FD" w:rsidRDefault="00D86A66" w:rsidP="003118FD">
      <w:pPr>
        <w:pStyle w:val="Standard"/>
        <w:ind w:firstLine="708"/>
        <w:jc w:val="both"/>
      </w:pPr>
      <w:r w:rsidRPr="003118FD">
        <w:rPr>
          <w:rFonts w:cs="Times New Roman"/>
        </w:rPr>
        <w:t xml:space="preserve">Słusznie zauważył Skarżący, że agroturystyka to świadczenie usług dla turystów w gospodarstwie rolnym”, bo potwierdza ten rodzaj usługi zgodnie z intencją sporządzającego plan. Zamiarem było wzbogacenie oferty inwestycyjnej dla rolników, którzy chcą świadczyć dodatkowo tego typu usługi, jako reklamę swoich produktów rolnych, np. miodu, serów produkowanych w tradycji menonickiej itp. Przeznaczenie to wzbogaca również paletę usług świadczonych na wsi, zwłaszcza że są to miododajne tereny łąk </w:t>
      </w:r>
      <w:r w:rsidR="00E1112F">
        <w:rPr>
          <w:rFonts w:cs="Times New Roman"/>
        </w:rPr>
        <w:br/>
      </w:r>
      <w:r w:rsidRPr="003118FD">
        <w:rPr>
          <w:rFonts w:cs="Times New Roman"/>
        </w:rPr>
        <w:t xml:space="preserve">i pastwisk wykorzystywanych na hodowlę bydła, lub tereny ekorolniczych hodowli </w:t>
      </w:r>
      <w:r w:rsidR="00E1112F" w:rsidRPr="003118FD">
        <w:rPr>
          <w:rFonts w:cs="Times New Roman"/>
        </w:rPr>
        <w:t>roślin, reklamowanych</w:t>
      </w:r>
      <w:r w:rsidRPr="003118FD">
        <w:rPr>
          <w:rFonts w:cs="Times New Roman"/>
        </w:rPr>
        <w:t xml:space="preserve"> jako atrakcja turystyczna tego regionu.</w:t>
      </w:r>
    </w:p>
    <w:p w14:paraId="4A04A4C2" w14:textId="77777777" w:rsidR="0023594D" w:rsidRPr="003118FD" w:rsidRDefault="00D86A66" w:rsidP="003118FD">
      <w:pPr>
        <w:pStyle w:val="Standard"/>
        <w:jc w:val="both"/>
      </w:pPr>
      <w:r w:rsidRPr="003118FD">
        <w:rPr>
          <w:rFonts w:cs="Times New Roman"/>
        </w:rPr>
        <w:t xml:space="preserve">Ustalona w </w:t>
      </w:r>
      <w:r w:rsidRPr="00102B6F">
        <w:rPr>
          <w:rFonts w:cs="Times New Roman"/>
        </w:rPr>
        <w:t>planie funkcja</w:t>
      </w:r>
      <w:r w:rsidRPr="003118FD">
        <w:rPr>
          <w:rFonts w:cs="Times New Roman"/>
        </w:rPr>
        <w:t xml:space="preserve"> gospodarstwa agroturystycznego nie może istnieć bez gospodarstwa rolnego, co zostało ustalone w planie w § 3 pkt 3) uchwały.</w:t>
      </w:r>
    </w:p>
    <w:p w14:paraId="2F318676" w14:textId="0CF349AF" w:rsidR="0023594D" w:rsidRPr="003118FD" w:rsidRDefault="00D86A66" w:rsidP="003118FD">
      <w:pPr>
        <w:pStyle w:val="Standard"/>
        <w:jc w:val="both"/>
      </w:pPr>
      <w:r w:rsidRPr="003118FD">
        <w:rPr>
          <w:rFonts w:cs="Times New Roman"/>
          <w:lang w:eastAsia="pl-PL"/>
        </w:rPr>
        <w:t xml:space="preserve">Wobec powyższego, nie można w całości zgodzić się z wnioskami skarżącego zamieszczonymi </w:t>
      </w:r>
      <w:r w:rsidR="00E1112F" w:rsidRPr="003118FD">
        <w:rPr>
          <w:rFonts w:cs="Times New Roman"/>
          <w:lang w:eastAsia="pl-PL"/>
        </w:rPr>
        <w:t>w podsumowaniu (</w:t>
      </w:r>
      <w:r w:rsidRPr="003118FD">
        <w:rPr>
          <w:rFonts w:cs="Times New Roman"/>
          <w:i/>
          <w:iCs/>
          <w:lang w:eastAsia="pl-PL"/>
        </w:rPr>
        <w:t>4 akapit na stronie 4 treści Skargi</w:t>
      </w:r>
      <w:r w:rsidRPr="003118FD">
        <w:rPr>
          <w:rFonts w:cs="Times New Roman"/>
          <w:lang w:eastAsia="pl-PL"/>
        </w:rPr>
        <w:t xml:space="preserve">), iż ustalenia planu nie wskazują rozmieszczenia poszczególnych przeznaczeń terenów. </w:t>
      </w:r>
      <w:r w:rsidRPr="00102B6F">
        <w:rPr>
          <w:rFonts w:cs="Times New Roman"/>
          <w:lang w:eastAsia="pl-PL"/>
        </w:rPr>
        <w:t>Ustalenia te w</w:t>
      </w:r>
      <w:r w:rsidRPr="003118FD">
        <w:rPr>
          <w:rFonts w:cs="Times New Roman"/>
          <w:lang w:eastAsia="pl-PL"/>
        </w:rPr>
        <w:t xml:space="preserve"> sposób konkretny wskazują „co i gdzie można zbudować”.</w:t>
      </w:r>
    </w:p>
    <w:p w14:paraId="1A002A7F" w14:textId="7DB4B51E" w:rsidR="0023594D" w:rsidRPr="003118FD" w:rsidRDefault="00D86A66" w:rsidP="003118FD">
      <w:pPr>
        <w:pStyle w:val="Standard"/>
        <w:jc w:val="both"/>
        <w:rPr>
          <w:rFonts w:cs="Times New Roman"/>
          <w:lang w:eastAsia="pl-PL"/>
        </w:rPr>
      </w:pPr>
      <w:r w:rsidRPr="003118FD">
        <w:rPr>
          <w:rFonts w:cs="Times New Roman"/>
          <w:lang w:eastAsia="pl-PL"/>
        </w:rPr>
        <w:t xml:space="preserve">Skarżący </w:t>
      </w:r>
      <w:r w:rsidR="00E1112F" w:rsidRPr="003118FD">
        <w:rPr>
          <w:rFonts w:cs="Times New Roman"/>
          <w:lang w:eastAsia="pl-PL"/>
        </w:rPr>
        <w:t>nietrafnie wskazał</w:t>
      </w:r>
      <w:r w:rsidRPr="003118FD">
        <w:rPr>
          <w:rFonts w:cs="Times New Roman"/>
          <w:lang w:eastAsia="pl-PL"/>
        </w:rPr>
        <w:t>, ale i de facto nie uzasadnił, że cyt.: „przedmiotowy akt prawa miejscowego jest nieprecyzyjny i niejednoznaczny, nieczytelny, i niezrozumiały”, a przez to rzekomo łamiący zasadę „rzetelnej legislacji”, choćby poprzez brak wydzielenia obszarów istniejących siedlisk od obszarów dotychczas niezagospodarowanych.</w:t>
      </w:r>
    </w:p>
    <w:p w14:paraId="136B0482" w14:textId="77777777" w:rsidR="0023594D" w:rsidRPr="003118FD" w:rsidRDefault="00D86A66" w:rsidP="003118FD">
      <w:pPr>
        <w:pStyle w:val="Standard"/>
        <w:ind w:firstLine="708"/>
        <w:jc w:val="both"/>
      </w:pPr>
      <w:r w:rsidRPr="003118FD">
        <w:rPr>
          <w:rFonts w:cs="Times New Roman"/>
          <w:lang w:eastAsia="pl-PL"/>
        </w:rPr>
        <w:t>Również w dalszej części treści Skargi, Skarżący kontynuuje rozważania o braku jasnych zasad dotyczących możliwości rozbudowy istniejących budynków na podstawie § 4 ust. 4 Uchwały Rady Gminy Gronowo Elbląskie. Co więcej, Skarżący zarzuca brak bazowania na sporządzonej szczegółowej inwentaryzacji urbanistycznej, co uwypukla przekroczenia zakresu kompetencji, a w ten sposób prowadzenia nadzoru nad przedmiotowym aktem prawa miejscowego.</w:t>
      </w:r>
    </w:p>
    <w:p w14:paraId="0B98B5D0" w14:textId="3BD3B233" w:rsidR="0023594D" w:rsidRPr="003118FD" w:rsidRDefault="00D86A66" w:rsidP="003118FD">
      <w:pPr>
        <w:pStyle w:val="Standard"/>
        <w:jc w:val="both"/>
      </w:pPr>
      <w:r w:rsidRPr="003118FD">
        <w:rPr>
          <w:rFonts w:cs="Times New Roman"/>
          <w:lang w:eastAsia="pl-PL"/>
        </w:rPr>
        <w:t xml:space="preserve">Należy podkreślić, iż szczegółowa inwentaryzacja urbanistyczna została wykonana w sposób dogłębny, stanowiąc podstawę do działań projektowych. Opracowanie to zostało ujęte </w:t>
      </w:r>
      <w:r w:rsidR="00E1112F">
        <w:rPr>
          <w:rFonts w:cs="Times New Roman"/>
          <w:lang w:eastAsia="pl-PL"/>
        </w:rPr>
        <w:br/>
      </w:r>
      <w:r w:rsidRPr="003118FD">
        <w:rPr>
          <w:rFonts w:cs="Times New Roman"/>
          <w:lang w:eastAsia="pl-PL"/>
        </w:rPr>
        <w:t>w materiałach planistycznych dokumentów formalno-prawnych przedmiotowej uchwały.</w:t>
      </w:r>
    </w:p>
    <w:p w14:paraId="7C83A415" w14:textId="49D14E4D" w:rsidR="0023594D" w:rsidRPr="003118FD" w:rsidRDefault="00D86A66" w:rsidP="003118FD">
      <w:pPr>
        <w:pStyle w:val="Standard"/>
        <w:jc w:val="both"/>
      </w:pPr>
      <w:r w:rsidRPr="003118FD">
        <w:rPr>
          <w:rFonts w:cs="Times New Roman"/>
        </w:rPr>
        <w:t>Odnosząc się do kwestii (</w:t>
      </w:r>
      <w:r w:rsidRPr="003118FD">
        <w:rPr>
          <w:rFonts w:cs="Times New Roman"/>
          <w:i/>
          <w:iCs/>
        </w:rPr>
        <w:t>str. 4 treści Skargi do WSA</w:t>
      </w:r>
      <w:r w:rsidRPr="003118FD">
        <w:rPr>
          <w:rFonts w:cs="Times New Roman"/>
        </w:rPr>
        <w:t xml:space="preserve">) dotyczącej ustaleń w zakresie </w:t>
      </w:r>
      <w:r w:rsidR="00E1112F" w:rsidRPr="003118FD">
        <w:rPr>
          <w:rFonts w:cs="Times New Roman"/>
        </w:rPr>
        <w:t>dopuszczenia gospodarstw</w:t>
      </w:r>
      <w:r w:rsidRPr="003118FD">
        <w:rPr>
          <w:rFonts w:cs="Times New Roman"/>
        </w:rPr>
        <w:t xml:space="preserve"> agroturystycznych jako odrębnych terenów „elementarnych”, na które w cał</w:t>
      </w:r>
      <w:r w:rsidR="00E1112F">
        <w:rPr>
          <w:rFonts w:cs="Times New Roman"/>
        </w:rPr>
        <w:t>ym</w:t>
      </w:r>
      <w:r w:rsidRPr="003118FD">
        <w:rPr>
          <w:rFonts w:cs="Times New Roman"/>
        </w:rPr>
        <w:t xml:space="preserve"> piśmie powołuje się skarżący należy stwierdzić, iż takie pojęcie nie występuje </w:t>
      </w:r>
      <w:r w:rsidR="00E1112F">
        <w:rPr>
          <w:rFonts w:cs="Times New Roman"/>
        </w:rPr>
        <w:br/>
      </w:r>
      <w:r w:rsidRPr="003118FD">
        <w:rPr>
          <w:rFonts w:cs="Times New Roman"/>
        </w:rPr>
        <w:t xml:space="preserve">w ustawie o planowaniu i zagospodarowaniu przestrzennym, jak również nie występuje </w:t>
      </w:r>
      <w:r w:rsidR="00E1112F">
        <w:rPr>
          <w:rFonts w:cs="Times New Roman"/>
        </w:rPr>
        <w:br/>
      </w:r>
      <w:r w:rsidRPr="003118FD">
        <w:rPr>
          <w:rFonts w:cs="Times New Roman"/>
        </w:rPr>
        <w:t>w zaskarżonej uchwale.</w:t>
      </w:r>
    </w:p>
    <w:p w14:paraId="613AAA52" w14:textId="22FAFF83" w:rsidR="0023594D" w:rsidRPr="003118FD" w:rsidRDefault="00D86A66" w:rsidP="003118FD">
      <w:pPr>
        <w:pStyle w:val="Standard"/>
        <w:jc w:val="both"/>
        <w:rPr>
          <w:rFonts w:cs="Times New Roman"/>
          <w:lang w:eastAsia="pl-PL"/>
        </w:rPr>
      </w:pPr>
      <w:r w:rsidRPr="003118FD">
        <w:rPr>
          <w:rFonts w:cs="Times New Roman"/>
          <w:lang w:eastAsia="pl-PL"/>
        </w:rPr>
        <w:t xml:space="preserve">Prawdopodobnie skarżący pomylił powyższe pojęcie z ustawowo obligatoryjnymi elementami planu miejscowego, czyli „terenami o różnym przeznaczeniu lub różnych zasadach zagospodarowania”, jasno i jednoznacznie wyznaczonymi na rysunku planu </w:t>
      </w:r>
      <w:r w:rsidR="00E1112F">
        <w:rPr>
          <w:rFonts w:cs="Times New Roman"/>
          <w:lang w:eastAsia="pl-PL"/>
        </w:rPr>
        <w:br/>
      </w:r>
      <w:r w:rsidRPr="003118FD">
        <w:rPr>
          <w:rFonts w:cs="Times New Roman"/>
          <w:lang w:eastAsia="pl-PL"/>
        </w:rPr>
        <w:t>i ustalonymi w treści uchwały.</w:t>
      </w:r>
    </w:p>
    <w:p w14:paraId="22A4ECD3" w14:textId="77777777" w:rsidR="0023594D" w:rsidRPr="003118FD" w:rsidRDefault="0023594D" w:rsidP="003118FD">
      <w:pPr>
        <w:pStyle w:val="Standard"/>
        <w:spacing w:line="276" w:lineRule="auto"/>
        <w:ind w:left="1095"/>
        <w:jc w:val="both"/>
        <w:rPr>
          <w:rFonts w:cs="Times New Roman"/>
          <w:lang w:eastAsia="pl-PL"/>
        </w:rPr>
      </w:pPr>
    </w:p>
    <w:p w14:paraId="2C1E16BF" w14:textId="77777777" w:rsidR="0023594D" w:rsidRPr="003118FD" w:rsidRDefault="00D86A66" w:rsidP="003118FD">
      <w:pPr>
        <w:pStyle w:val="Standard"/>
        <w:jc w:val="both"/>
      </w:pPr>
      <w:r w:rsidRPr="003118FD">
        <w:rPr>
          <w:rFonts w:cs="Times New Roman"/>
          <w:szCs w:val="22"/>
          <w:lang w:eastAsia="pl-PL"/>
        </w:rPr>
        <w:t xml:space="preserve">Podnieść należy, iż zgodnie z niebudzącym wątpliwości i jednolitym orzecznictwem sądów administracyjnych dopuszczalne jest ustalenie dla jednego terenu różnych funkcji w sposób alternatywny lub uzupełniający tak, aby nie wykluczały się wzajemnie, a były uzasadnione specyfiką terenu czy preferencjami lokalnej społeczności. Wystarczy w tym miejscu przywołać </w:t>
      </w:r>
      <w:r w:rsidRPr="003118FD">
        <w:rPr>
          <w:rFonts w:cs="Times New Roman"/>
          <w:szCs w:val="22"/>
          <w:lang w:eastAsia="pl-PL"/>
        </w:rPr>
        <w:lastRenderedPageBreak/>
        <w:t>wyrok NSA z dnia 29-04-2020 w sprawie II OSK2209/19jak i wyrok WSA we Wrocławiu z dnia 04-10-2017 w sprawie II SA/Wr 377/17.</w:t>
      </w:r>
    </w:p>
    <w:p w14:paraId="195B6ACA" w14:textId="77777777" w:rsidR="0023594D" w:rsidRPr="003118FD" w:rsidRDefault="0023594D" w:rsidP="003118FD">
      <w:pPr>
        <w:pStyle w:val="Standard"/>
        <w:spacing w:line="276" w:lineRule="auto"/>
        <w:ind w:left="1095"/>
        <w:jc w:val="both"/>
        <w:rPr>
          <w:rFonts w:cs="Times New Roman"/>
          <w:sz w:val="28"/>
          <w:lang w:eastAsia="pl-PL"/>
        </w:rPr>
      </w:pPr>
    </w:p>
    <w:p w14:paraId="631C9335" w14:textId="4294707B" w:rsidR="0023594D" w:rsidRPr="003118FD" w:rsidRDefault="00D86A66" w:rsidP="003118FD">
      <w:pPr>
        <w:pStyle w:val="Standard"/>
        <w:jc w:val="both"/>
      </w:pPr>
      <w:r w:rsidRPr="003118FD">
        <w:rPr>
          <w:rFonts w:cs="Times New Roman"/>
          <w:b/>
        </w:rPr>
        <w:t>Ad. 3</w:t>
      </w:r>
      <w:r w:rsidRPr="003118FD">
        <w:rPr>
          <w:rFonts w:cs="Times New Roman"/>
        </w:rPr>
        <w:t xml:space="preserve">. Odniesienie do zarzutu dopuszczenia w przedmiotowym planie lokalizacji historycznych obiektów żuławskich, opartych na historycznych wzorach żuławskich, jako indywidualnych budowli, </w:t>
      </w:r>
      <w:r w:rsidR="00E1112F" w:rsidRPr="003118FD">
        <w:rPr>
          <w:rFonts w:cs="Times New Roman"/>
        </w:rPr>
        <w:t>w zakresie</w:t>
      </w:r>
      <w:r w:rsidRPr="003118FD">
        <w:rPr>
          <w:rFonts w:cs="Times New Roman"/>
        </w:rPr>
        <w:t xml:space="preserve"> regulacji zawartych w §</w:t>
      </w:r>
      <w:r w:rsidRPr="00102B6F">
        <w:rPr>
          <w:rFonts w:cs="Times New Roman"/>
        </w:rPr>
        <w:t>17 ust 1-13, 21 pkt 3 lit. c tiret 4, 6</w:t>
      </w:r>
      <w:r w:rsidRPr="003118FD">
        <w:rPr>
          <w:rFonts w:cs="Times New Roman"/>
        </w:rPr>
        <w:t xml:space="preserve"> uchwały.</w:t>
      </w:r>
    </w:p>
    <w:p w14:paraId="5A485190" w14:textId="77777777" w:rsidR="0023594D" w:rsidRPr="003118FD" w:rsidRDefault="00D86A66" w:rsidP="003118FD">
      <w:pPr>
        <w:pStyle w:val="Standard"/>
        <w:jc w:val="both"/>
      </w:pPr>
      <w:r w:rsidRPr="003118FD">
        <w:rPr>
          <w:rFonts w:cs="Times New Roman"/>
        </w:rPr>
        <w:t xml:space="preserve">Zaskarżone zostały ustalenia w planie dotyczące dopuszczenia lokalizacji historycznych obiektów żuławskich opartych na historycznych wzorach żuławskich, jako indywidualnych </w:t>
      </w:r>
      <w:r w:rsidRPr="003118FD">
        <w:rPr>
          <w:rFonts w:cs="Times New Roman"/>
          <w:u w:val="single"/>
        </w:rPr>
        <w:t>budowli</w:t>
      </w:r>
      <w:r w:rsidRPr="003118FD">
        <w:rPr>
          <w:rFonts w:cs="Times New Roman"/>
        </w:rPr>
        <w:t xml:space="preserve">, których parametry nie muszą być zgodne z parametrami kształtowania zabudowy ustalonymi dla terenu, </w:t>
      </w:r>
      <w:r w:rsidRPr="003118FD">
        <w:rPr>
          <w:rFonts w:cs="Times New Roman"/>
          <w:u w:val="single"/>
        </w:rPr>
        <w:t>gdyż budowle nie są budynkami (zabudową)</w:t>
      </w:r>
      <w:r w:rsidRPr="003118FD">
        <w:rPr>
          <w:rFonts w:cs="Times New Roman"/>
        </w:rPr>
        <w:t xml:space="preserve">, zatem nie podlegają ustaleniom uchwały w </w:t>
      </w:r>
      <w:r w:rsidRPr="003118FD">
        <w:rPr>
          <w:rFonts w:ascii="TimesNewRomanPS-BoldMT" w:hAnsi="TimesNewRomanPS-BoldMT" w:cs="TimesNewRomanPS-BoldMT"/>
          <w:lang w:eastAsia="pl-PL"/>
        </w:rPr>
        <w:t xml:space="preserve">§ 9. </w:t>
      </w:r>
      <w:r w:rsidRPr="003118FD">
        <w:rPr>
          <w:rFonts w:ascii="TimesNewRomanPS-BoldMT" w:hAnsi="TimesNewRomanPS-BoldMT" w:cs="TimesNewRomanPS-BoldMT"/>
          <w:i/>
          <w:iCs/>
          <w:lang w:eastAsia="pl-PL"/>
        </w:rPr>
        <w:t>Zasady kształtowania zabudowy</w:t>
      </w:r>
      <w:r w:rsidRPr="003118FD">
        <w:rPr>
          <w:rFonts w:ascii="TimesNewRomanPS-BoldMT" w:hAnsi="TimesNewRomanPS-BoldMT" w:cs="TimesNewRomanPS-BoldMT"/>
          <w:lang w:eastAsia="pl-PL"/>
        </w:rPr>
        <w:t xml:space="preserve"> (…).</w:t>
      </w:r>
    </w:p>
    <w:p w14:paraId="236DDE13" w14:textId="21FC415A" w:rsidR="0023594D" w:rsidRPr="003118FD" w:rsidRDefault="00D86A66" w:rsidP="003118FD">
      <w:pPr>
        <w:pStyle w:val="Standard"/>
        <w:jc w:val="both"/>
      </w:pPr>
      <w:r w:rsidRPr="003118FD">
        <w:rPr>
          <w:rFonts w:cs="Times New Roman"/>
        </w:rPr>
        <w:t xml:space="preserve">Uznać należy w/w zastrzeżenie za bezpodstawne, albowiem ustalenie w tym zakresie nie narusza podstawowych zasad sporządzania planów miejscowych. Jednym z założeń opracowania planu było utrzymanie tradycji tego regionu, poprzez </w:t>
      </w:r>
      <w:r w:rsidR="00E1112F" w:rsidRPr="003118FD">
        <w:rPr>
          <w:rFonts w:cs="Times New Roman"/>
        </w:rPr>
        <w:t>dopuszczenie indywidualnych</w:t>
      </w:r>
      <w:r w:rsidRPr="003118FD">
        <w:rPr>
          <w:rFonts w:cs="Times New Roman"/>
        </w:rPr>
        <w:t xml:space="preserve"> budowli, jako elementów zagospodarowania terenów </w:t>
      </w:r>
      <w:r w:rsidR="00E1112F" w:rsidRPr="003118FD">
        <w:rPr>
          <w:rFonts w:cs="Times New Roman"/>
        </w:rPr>
        <w:t>wzmacniających wartości</w:t>
      </w:r>
      <w:r w:rsidRPr="003118FD">
        <w:rPr>
          <w:rFonts w:cs="Times New Roman"/>
        </w:rPr>
        <w:t xml:space="preserve"> historyczne i krajobrazowe Żuław Elbląskich oraz nadanie przestrzeniom cech nawiązujących do indywidualnych wartości tego regionu.</w:t>
      </w:r>
    </w:p>
    <w:p w14:paraId="48ED53CC" w14:textId="45912B4E" w:rsidR="0023594D" w:rsidRPr="003118FD" w:rsidRDefault="00D86A66" w:rsidP="003118FD">
      <w:pPr>
        <w:pStyle w:val="Nagwek3"/>
        <w:spacing w:before="0"/>
        <w:jc w:val="both"/>
      </w:pPr>
      <w:r w:rsidRPr="003118FD">
        <w:rPr>
          <w:rFonts w:ascii="Times New Roman" w:eastAsia="Calibri" w:hAnsi="Times New Roman" w:cs="Times New Roman"/>
          <w:b w:val="0"/>
          <w:bCs w:val="0"/>
          <w:color w:val="00000A"/>
        </w:rPr>
        <w:t xml:space="preserve">Nie podlegają one regulacjom ustalonym w planie dla budynków, gdyż według art. 5 pkt 3) ustawy z dnia 7 lipca 1994 r. Prawo budowlane (Dz.U.2020.1333) są tradycyjną budowlą Żuławską, zaliczoną do historycznie występujących w tym regionie, budowlą niebędącą budynkiem lub obiektem małej architektury, a będącą </w:t>
      </w:r>
      <w:r w:rsidR="00E1112F" w:rsidRPr="003118FD">
        <w:rPr>
          <w:rFonts w:ascii="Times New Roman" w:eastAsia="Calibri" w:hAnsi="Times New Roman" w:cs="Times New Roman"/>
          <w:b w:val="0"/>
          <w:bCs w:val="0"/>
          <w:color w:val="00000A"/>
        </w:rPr>
        <w:t>budowlą hydrotechniczną</w:t>
      </w:r>
      <w:r w:rsidRPr="003118FD">
        <w:rPr>
          <w:rFonts w:ascii="Times New Roman" w:eastAsia="Calibri" w:hAnsi="Times New Roman" w:cs="Times New Roman"/>
          <w:b w:val="0"/>
          <w:bCs w:val="0"/>
          <w:color w:val="00000A"/>
        </w:rPr>
        <w:t xml:space="preserve"> lub wolno stojącym urządzeniem technicznym. Ustalenia dotyczące ww. kwestii, zawarte w uchwale, podlegały uzgodnieniu Państwowego Wojewódzkiego Konserwatora Zabytków Oddział </w:t>
      </w:r>
      <w:r w:rsidR="00E1112F">
        <w:rPr>
          <w:rFonts w:ascii="Times New Roman" w:eastAsia="Calibri" w:hAnsi="Times New Roman" w:cs="Times New Roman"/>
          <w:b w:val="0"/>
          <w:bCs w:val="0"/>
          <w:color w:val="00000A"/>
        </w:rPr>
        <w:br/>
      </w:r>
      <w:r w:rsidRPr="003118FD">
        <w:rPr>
          <w:rFonts w:ascii="Times New Roman" w:eastAsia="Calibri" w:hAnsi="Times New Roman" w:cs="Times New Roman"/>
          <w:b w:val="0"/>
          <w:bCs w:val="0"/>
          <w:color w:val="00000A"/>
        </w:rPr>
        <w:t xml:space="preserve">w Elblągu. Celem było odtworzenie historycznych walorów krajobrazowych Żuław Elbląskich poprzez dopuszczenie możliwości realizacji również indywidualnych budowli opartych na historycznych wzorach, kojarzonych z pejzażem żuławskim, takich jak np. niektóre typy </w:t>
      </w:r>
      <w:r w:rsidRPr="003118FD">
        <w:rPr>
          <w:rFonts w:ascii="Times New Roman" w:eastAsia="Calibri" w:hAnsi="Times New Roman" w:cs="Times New Roman"/>
          <w:color w:val="00000A"/>
        </w:rPr>
        <w:t>wiatraków, śluzy i inne budowle hydrotechniczne</w:t>
      </w:r>
      <w:r w:rsidRPr="003118FD">
        <w:rPr>
          <w:rFonts w:ascii="Times New Roman" w:eastAsia="Calibri" w:hAnsi="Times New Roman" w:cs="Times New Roman"/>
          <w:b w:val="0"/>
          <w:bCs w:val="0"/>
          <w:color w:val="00000A"/>
        </w:rPr>
        <w:t>. Do dziś przetrwało ich niestety niewiele.</w:t>
      </w:r>
    </w:p>
    <w:p w14:paraId="53B48B3B" w14:textId="4E2DD762" w:rsidR="0023594D" w:rsidRPr="003118FD" w:rsidRDefault="00D86A66" w:rsidP="003118FD">
      <w:pPr>
        <w:pStyle w:val="Standard"/>
        <w:jc w:val="both"/>
      </w:pPr>
      <w:r w:rsidRPr="003118FD">
        <w:rPr>
          <w:rFonts w:cs="Times New Roman"/>
        </w:rPr>
        <w:t xml:space="preserve">Nie można zgodzić się również ze stwierdzeniem Skarżącego, iż wprowadza się szereg przepisów otwartych, uzależniając sposób zagospodarowania terenów od późniejszych uzgodnień oraz warunków ustalanych jednostronnie przez podmioty trzecie, biorące udział </w:t>
      </w:r>
      <w:r w:rsidR="00E1112F">
        <w:rPr>
          <w:rFonts w:cs="Times New Roman"/>
        </w:rPr>
        <w:br/>
      </w:r>
      <w:r w:rsidRPr="003118FD">
        <w:rPr>
          <w:rFonts w:cs="Times New Roman"/>
        </w:rPr>
        <w:t xml:space="preserve">w procesie realizacji inwestycji. Skarżący nie podjął się próby dowodu przedstawiającego chociażby hipotetyczną sytuację, która dowiodłaby jakiejkolwiek </w:t>
      </w:r>
      <w:r w:rsidRPr="00102B6F">
        <w:rPr>
          <w:rFonts w:cs="Times New Roman"/>
        </w:rPr>
        <w:t>racji w tej kwestii.</w:t>
      </w:r>
    </w:p>
    <w:p w14:paraId="504E3345" w14:textId="77777777" w:rsidR="0023594D" w:rsidRPr="003118FD" w:rsidRDefault="0023594D" w:rsidP="003118FD">
      <w:pPr>
        <w:pStyle w:val="Standard"/>
        <w:ind w:left="1065"/>
        <w:jc w:val="both"/>
      </w:pPr>
    </w:p>
    <w:p w14:paraId="6311B9ED" w14:textId="77777777" w:rsidR="0023594D" w:rsidRPr="003118FD" w:rsidRDefault="00D86A66" w:rsidP="003118FD">
      <w:pPr>
        <w:pStyle w:val="Zwykytekst"/>
        <w:spacing w:line="276" w:lineRule="auto"/>
        <w:jc w:val="both"/>
      </w:pPr>
      <w:r w:rsidRPr="003118FD">
        <w:rPr>
          <w:rFonts w:ascii="Times New Roman" w:hAnsi="Times New Roman" w:cs="Times New Roman"/>
          <w:b/>
          <w:bCs/>
          <w:sz w:val="22"/>
          <w:szCs w:val="22"/>
        </w:rPr>
        <w:t>Ad. 4</w:t>
      </w:r>
    </w:p>
    <w:p w14:paraId="3A16AD76" w14:textId="77777777" w:rsidR="0023594D" w:rsidRPr="003118FD" w:rsidRDefault="00D86A66" w:rsidP="003118FD">
      <w:pPr>
        <w:pStyle w:val="Standard"/>
        <w:jc w:val="both"/>
      </w:pPr>
      <w:r w:rsidRPr="003118FD">
        <w:rPr>
          <w:rFonts w:cs="Times New Roman"/>
        </w:rPr>
        <w:t>Wyjaśnienie na skargę w</w:t>
      </w:r>
      <w:r w:rsidRPr="003118FD">
        <w:rPr>
          <w:rFonts w:cs="Times New Roman"/>
          <w:lang w:eastAsia="pl-PL"/>
        </w:rPr>
        <w:t xml:space="preserve"> zakresie następujących ustaleń planu miejscowego:</w:t>
      </w:r>
    </w:p>
    <w:p w14:paraId="13096515" w14:textId="77777777" w:rsidR="0023594D" w:rsidRPr="003118FD" w:rsidRDefault="00D86A66" w:rsidP="003118FD">
      <w:pPr>
        <w:pStyle w:val="Standard"/>
        <w:jc w:val="both"/>
      </w:pPr>
      <w:r w:rsidRPr="003118FD">
        <w:rPr>
          <w:rFonts w:cs="Times New Roman"/>
          <w:lang w:eastAsia="pl-PL"/>
        </w:rPr>
        <w:t>„</w:t>
      </w:r>
      <w:r w:rsidRPr="003118FD">
        <w:rPr>
          <w:rFonts w:cs="Times New Roman"/>
          <w:b/>
          <w:bCs/>
          <w:i/>
          <w:iCs/>
          <w:lang w:eastAsia="pl-PL"/>
        </w:rPr>
        <w:t>§ 4. Przeznaczenie terenów oraz linie rozgraniczające tereny o różnym przeznaczeniu lub różnych zasadach zagospodarowania:</w:t>
      </w:r>
    </w:p>
    <w:p w14:paraId="6A77889B" w14:textId="77777777" w:rsidR="0023594D" w:rsidRPr="003118FD" w:rsidRDefault="00D86A66" w:rsidP="003118FD">
      <w:pPr>
        <w:pStyle w:val="Standard"/>
        <w:jc w:val="both"/>
      </w:pPr>
      <w:r w:rsidRPr="003118FD">
        <w:rPr>
          <w:rFonts w:cs="Times New Roman"/>
          <w:i/>
          <w:iCs/>
          <w:lang w:eastAsia="pl-PL"/>
        </w:rPr>
        <w:t>(…)</w:t>
      </w:r>
    </w:p>
    <w:p w14:paraId="06C08212" w14:textId="4FACA869" w:rsidR="0023594D" w:rsidRPr="003118FD" w:rsidRDefault="00D86A66" w:rsidP="003118FD">
      <w:pPr>
        <w:pStyle w:val="Standard"/>
        <w:jc w:val="both"/>
      </w:pPr>
      <w:r w:rsidRPr="003118FD">
        <w:rPr>
          <w:rFonts w:cs="Times New Roman"/>
          <w:i/>
          <w:iCs/>
          <w:lang w:eastAsia="pl-PL"/>
        </w:rPr>
        <w:t xml:space="preserve">5) na całym obszarze planu dopuszcza się lokalizację obiektów infrastruktury technicznej </w:t>
      </w:r>
      <w:r w:rsidR="00E1112F">
        <w:rPr>
          <w:rFonts w:cs="Times New Roman"/>
          <w:i/>
          <w:iCs/>
          <w:lang w:eastAsia="pl-PL"/>
        </w:rPr>
        <w:br/>
      </w:r>
      <w:r w:rsidRPr="003118FD">
        <w:rPr>
          <w:rFonts w:cs="Times New Roman"/>
          <w:i/>
          <w:iCs/>
          <w:lang w:eastAsia="pl-PL"/>
        </w:rPr>
        <w:t>w tym: infrastrukturę służącą odprowadzaniu ścieków, dostarczaniu wody, ciepła, energii elektrycznej, gazu i teletechniczną, stacji transformatorowych, obiektów przepompowni ścieków, stacji gazowych, urządzeń melioracji oraz dojazdów, jeżeli ustalenia szczegółowe dla poszczególnych terenów nie stanowią inaczej;</w:t>
      </w:r>
    </w:p>
    <w:p w14:paraId="224AA543" w14:textId="77777777" w:rsidR="0023594D" w:rsidRPr="003118FD" w:rsidRDefault="00D86A66" w:rsidP="003118FD">
      <w:pPr>
        <w:pStyle w:val="Standard"/>
        <w:jc w:val="both"/>
      </w:pPr>
      <w:r w:rsidRPr="003118FD">
        <w:rPr>
          <w:rFonts w:cs="Times New Roman"/>
          <w:i/>
          <w:iCs/>
          <w:lang w:eastAsia="pl-PL"/>
        </w:rPr>
        <w:t>6) (…) dopuszcza się w obszarze objętym planem lokalizację zadań dla realizacji celów publicznych w ramach wszystkich funkcji i zasad zagospodarowania terenu, ustalonych niniejszym planem;</w:t>
      </w:r>
    </w:p>
    <w:p w14:paraId="24B2C213" w14:textId="77777777" w:rsidR="0023594D" w:rsidRPr="003118FD" w:rsidRDefault="00D86A66" w:rsidP="003118FD">
      <w:pPr>
        <w:pStyle w:val="Standard"/>
        <w:jc w:val="both"/>
      </w:pPr>
      <w:r w:rsidRPr="003118FD">
        <w:rPr>
          <w:rFonts w:cs="Times New Roman"/>
          <w:i/>
          <w:iCs/>
          <w:lang w:eastAsia="pl-PL"/>
        </w:rPr>
        <w:t>(…)</w:t>
      </w:r>
    </w:p>
    <w:p w14:paraId="78CC185C" w14:textId="77777777" w:rsidR="0023594D" w:rsidRPr="003118FD" w:rsidRDefault="00D86A66" w:rsidP="003118FD">
      <w:pPr>
        <w:pStyle w:val="Standard"/>
        <w:jc w:val="both"/>
      </w:pPr>
      <w:r w:rsidRPr="003118FD">
        <w:rPr>
          <w:rFonts w:cs="Times New Roman"/>
          <w:b/>
          <w:bCs/>
          <w:i/>
          <w:iCs/>
          <w:lang w:eastAsia="pl-PL"/>
        </w:rPr>
        <w:t>§ 14. Zasady modernizacji, rozbudowy i budowy systemów infrastruktury technicznej, zasady obsługi obszaru planu tymi systemami są następujące:</w:t>
      </w:r>
    </w:p>
    <w:p w14:paraId="48CF69DF" w14:textId="77777777" w:rsidR="0023594D" w:rsidRPr="003118FD" w:rsidRDefault="00D86A66" w:rsidP="003118FD">
      <w:pPr>
        <w:pStyle w:val="Standard"/>
        <w:jc w:val="both"/>
      </w:pPr>
      <w:r w:rsidRPr="003118FD">
        <w:rPr>
          <w:rFonts w:cs="Times New Roman"/>
          <w:i/>
          <w:iCs/>
          <w:lang w:eastAsia="pl-PL"/>
        </w:rPr>
        <w:t>(…)</w:t>
      </w:r>
    </w:p>
    <w:p w14:paraId="581D71F1" w14:textId="77777777" w:rsidR="0023594D" w:rsidRPr="003118FD" w:rsidRDefault="00D86A66" w:rsidP="003118FD">
      <w:pPr>
        <w:pStyle w:val="Standard"/>
        <w:jc w:val="both"/>
      </w:pPr>
      <w:r w:rsidRPr="003118FD">
        <w:rPr>
          <w:rFonts w:cs="Times New Roman"/>
          <w:i/>
          <w:iCs/>
          <w:lang w:eastAsia="pl-PL"/>
        </w:rPr>
        <w:lastRenderedPageBreak/>
        <w:t>4) elektroenergetyka - z sieci i urządzeń elektroenergetycznych; w całym obszarze planu dopuszcza się lokalizację podziemnych i napowietrznych sieci i urządzeń elektroenergetycznych niskiego, średniego i wysokiego napięcia;</w:t>
      </w:r>
    </w:p>
    <w:p w14:paraId="7CA913E6" w14:textId="77777777" w:rsidR="0023594D" w:rsidRPr="003118FD" w:rsidRDefault="00D86A66" w:rsidP="003118FD">
      <w:pPr>
        <w:pStyle w:val="Standard"/>
        <w:jc w:val="both"/>
      </w:pPr>
      <w:r w:rsidRPr="003118FD">
        <w:rPr>
          <w:rFonts w:cs="Times New Roman"/>
          <w:i/>
          <w:iCs/>
          <w:lang w:eastAsia="pl-PL"/>
        </w:rPr>
        <w:t>(…)</w:t>
      </w:r>
    </w:p>
    <w:p w14:paraId="7D6D473A" w14:textId="77777777" w:rsidR="0023594D" w:rsidRPr="003118FD" w:rsidRDefault="00D86A66" w:rsidP="003118FD">
      <w:pPr>
        <w:pStyle w:val="Standard"/>
        <w:spacing w:line="276" w:lineRule="auto"/>
        <w:jc w:val="both"/>
      </w:pPr>
      <w:r w:rsidRPr="003118FD">
        <w:rPr>
          <w:rFonts w:cs="Times New Roman"/>
          <w:bCs/>
          <w:i/>
          <w:iCs/>
          <w:lang w:eastAsia="pl-PL"/>
        </w:rPr>
        <w:t>8) w całym obszarze planu dopuszcza się modernizację, rozbudowę systemów infrastruktury technicznej oraz budowę nowych, z uwzględnieniem ustaleń zawartych w punktach od 1 do 7 tego ustępu oraz ustaleń szczegółowych dla poszczególnych terenów, zawartych w rozdziale 3; (…)”.</w:t>
      </w:r>
    </w:p>
    <w:p w14:paraId="645272D4" w14:textId="2DC5ADDF" w:rsidR="0023594D" w:rsidRPr="003118FD" w:rsidRDefault="00D86A66" w:rsidP="003118FD">
      <w:pPr>
        <w:pStyle w:val="Standard"/>
        <w:spacing w:line="276" w:lineRule="auto"/>
        <w:jc w:val="both"/>
      </w:pPr>
      <w:r w:rsidRPr="003118FD">
        <w:rPr>
          <w:rFonts w:cs="Times New Roman"/>
          <w:lang w:eastAsia="pl-PL"/>
        </w:rPr>
        <w:t>Skarżący zarzuca powyższym ustaleniom bardzo ogólny, w tym nieskonkretyzowany przebieg (lokalizacji) infrastruktury technicznej. Prowadzenie sieci oraz związanych z nimi m.in. obiektów i urządzeń infrastrukturalnych ma charakter służący wyłącznie obsłudze przeznaczenia terenu (np. możliwości doprowadzenia wodociągu do budynku mieszkalnego), tzn. jest to</w:t>
      </w:r>
      <w:r w:rsidRPr="003118FD">
        <w:rPr>
          <w:rFonts w:cs="Times New Roman"/>
          <w:i/>
          <w:iCs/>
          <w:lang w:eastAsia="pl-PL"/>
        </w:rPr>
        <w:t xml:space="preserve"> de facto</w:t>
      </w:r>
      <w:r w:rsidRPr="003118FD">
        <w:rPr>
          <w:rFonts w:cs="Times New Roman"/>
          <w:lang w:eastAsia="pl-PL"/>
        </w:rPr>
        <w:t xml:space="preserve"> zagospodarowanie terenu, a nie przeznaczenie terenu. Trudno byłoby </w:t>
      </w:r>
      <w:r w:rsidR="00E1112F">
        <w:rPr>
          <w:rFonts w:cs="Times New Roman"/>
          <w:lang w:eastAsia="pl-PL"/>
        </w:rPr>
        <w:br/>
      </w:r>
      <w:r w:rsidRPr="003118FD">
        <w:rPr>
          <w:rFonts w:cs="Times New Roman"/>
          <w:lang w:eastAsia="pl-PL"/>
        </w:rPr>
        <w:t xml:space="preserve">w planach miejscowych określać konkretnie </w:t>
      </w:r>
      <w:r w:rsidRPr="00102B6F">
        <w:rPr>
          <w:rFonts w:cs="Times New Roman"/>
          <w:lang w:eastAsia="pl-PL"/>
        </w:rPr>
        <w:t>wszystkie</w:t>
      </w:r>
      <w:r w:rsidRPr="003118FD">
        <w:rPr>
          <w:rFonts w:cs="Times New Roman"/>
          <w:lang w:eastAsia="pl-PL"/>
        </w:rPr>
        <w:t xml:space="preserve"> sieci, w tym lokalizację </w:t>
      </w:r>
      <w:r w:rsidRPr="00102B6F">
        <w:rPr>
          <w:rFonts w:cs="Times New Roman"/>
          <w:lang w:eastAsia="pl-PL"/>
        </w:rPr>
        <w:t>tego typu</w:t>
      </w:r>
      <w:r w:rsidRPr="003118FD">
        <w:rPr>
          <w:rFonts w:cs="Times New Roman"/>
          <w:lang w:eastAsia="pl-PL"/>
        </w:rPr>
        <w:t xml:space="preserve"> obiektów (urządzeń). Byłoby to bezcelowe, a wręcz szkodliwe właśnie dla inwestorów. Tam, gdzie jest to konieczne, ustalenia planu miejscowego wskazują konkretny przebieg istniejących lub planowanych elementów infrastruktury technicznej. </w:t>
      </w:r>
      <w:r w:rsidRPr="00102B6F">
        <w:rPr>
          <w:rFonts w:cs="Times New Roman"/>
          <w:lang w:eastAsia="pl-PL"/>
        </w:rPr>
        <w:t>Przykładem jest (na rysunku planu – załączniku nr 1 do uchwały) tzw. wodociąg obsługiwany przez "Centralny Wodociąg Żuławski", którego przebieg może wpłynąć na sposób zagospodarowania poszczególnych nieruchomości.</w:t>
      </w:r>
    </w:p>
    <w:p w14:paraId="4A0C2B79" w14:textId="77777777" w:rsidR="0023594D" w:rsidRPr="003118FD" w:rsidRDefault="00D86A66" w:rsidP="003118FD">
      <w:pPr>
        <w:pStyle w:val="Standard"/>
        <w:jc w:val="both"/>
      </w:pPr>
      <w:r w:rsidRPr="003118FD">
        <w:rPr>
          <w:rFonts w:cs="Times New Roman"/>
        </w:rPr>
        <w:t>Świadczy to o tym, że Gmina wzięła pod uwagę i wyważyła charakter wprowadzonych zasad, podważenie których zarzuca skarżący.</w:t>
      </w:r>
    </w:p>
    <w:p w14:paraId="4FEC8F7B" w14:textId="77777777" w:rsidR="0023594D" w:rsidRPr="003118FD" w:rsidRDefault="00D86A66" w:rsidP="003118FD">
      <w:pPr>
        <w:pStyle w:val="Standard"/>
        <w:jc w:val="both"/>
      </w:pPr>
      <w:r w:rsidRPr="003118FD">
        <w:rPr>
          <w:rFonts w:cs="Times New Roman"/>
          <w:lang w:eastAsia="pl-PL"/>
        </w:rPr>
        <w:t xml:space="preserve">Skarżący sygnalizuje również, że w skrajnej sytuacji ustalenia planu mogą doprowadzić do zmiany przeznaczenia terenu np. pod oczyszczalnię ścieków, składowiska odpadów, bądź też stację uzdatniania wody, choćby poprzez zaliczenie tychże do budowli. W § 4 pkt 5 treści uchwały </w:t>
      </w:r>
      <w:r w:rsidRPr="00102B6F">
        <w:rPr>
          <w:rFonts w:cs="Times New Roman"/>
          <w:lang w:eastAsia="pl-PL"/>
        </w:rPr>
        <w:t>ustalenie to ma charakter ogólny</w:t>
      </w:r>
      <w:r w:rsidRPr="003118FD">
        <w:rPr>
          <w:rFonts w:cs="Times New Roman"/>
          <w:lang w:eastAsia="pl-PL"/>
        </w:rPr>
        <w:t xml:space="preserve"> z odniesieniem do ustaleń szczegółowych dla poszczególnych terenów („</w:t>
      </w:r>
      <w:r w:rsidRPr="003118FD">
        <w:rPr>
          <w:rFonts w:cs="Times New Roman"/>
          <w:i/>
          <w:iCs/>
          <w:lang w:eastAsia="pl-PL"/>
        </w:rPr>
        <w:t>jeżeli ustalenia szczegółowe dla poszczególnych terenów nie stanowią inaczej”</w:t>
      </w:r>
      <w:r w:rsidRPr="003118FD">
        <w:rPr>
          <w:rFonts w:cs="Times New Roman"/>
          <w:lang w:eastAsia="pl-PL"/>
        </w:rPr>
        <w:t>), w których ustala się przeznaczenie, zatem nieuzasadniona jest obawa skarżącego o powstanie wymienionych rzekomych ww. inwestycji.</w:t>
      </w:r>
    </w:p>
    <w:p w14:paraId="4149494F" w14:textId="13AC02CE" w:rsidR="0023594D" w:rsidRPr="003118FD" w:rsidRDefault="00D86A66" w:rsidP="003118FD">
      <w:pPr>
        <w:pStyle w:val="Standard"/>
        <w:jc w:val="both"/>
      </w:pPr>
      <w:r w:rsidRPr="003118FD">
        <w:rPr>
          <w:rFonts w:cs="Times New Roman"/>
          <w:lang w:eastAsia="pl-PL"/>
        </w:rPr>
        <w:t xml:space="preserve">Z kolei pkt </w:t>
      </w:r>
      <w:r w:rsidRPr="00102B6F">
        <w:rPr>
          <w:rFonts w:cs="Times New Roman"/>
          <w:lang w:eastAsia="pl-PL"/>
        </w:rPr>
        <w:t>6 tego samego paragrafu, który</w:t>
      </w:r>
      <w:r w:rsidRPr="00102B6F">
        <w:rPr>
          <w:rFonts w:cs="Times New Roman"/>
          <w:i/>
          <w:iCs/>
          <w:lang w:eastAsia="pl-PL"/>
        </w:rPr>
        <w:t xml:space="preserve"> </w:t>
      </w:r>
      <w:r w:rsidRPr="003118FD">
        <w:rPr>
          <w:rFonts w:cs="Times New Roman"/>
          <w:i/>
          <w:iCs/>
          <w:lang w:eastAsia="pl-PL"/>
        </w:rPr>
        <w:t xml:space="preserve">„dopuszcza się w obszarze objętym planem lokalizację zadań dla realizacji celów publicznych </w:t>
      </w:r>
      <w:r w:rsidRPr="003118FD">
        <w:rPr>
          <w:rFonts w:cs="Times New Roman"/>
          <w:i/>
          <w:iCs/>
          <w:u w:val="single"/>
          <w:lang w:eastAsia="pl-PL"/>
        </w:rPr>
        <w:t>w ramach</w:t>
      </w:r>
      <w:r w:rsidRPr="003118FD">
        <w:rPr>
          <w:rFonts w:cs="Times New Roman"/>
          <w:i/>
          <w:iCs/>
          <w:lang w:eastAsia="pl-PL"/>
        </w:rPr>
        <w:t xml:space="preserve"> wszystkich funkcji i zasad zagospodarowania terenu, </w:t>
      </w:r>
      <w:r w:rsidRPr="003118FD">
        <w:rPr>
          <w:rFonts w:cs="Times New Roman"/>
          <w:i/>
          <w:iCs/>
          <w:u w:val="single"/>
          <w:lang w:eastAsia="pl-PL"/>
        </w:rPr>
        <w:t>ustalonych niniejszym planem</w:t>
      </w:r>
      <w:r w:rsidRPr="003118FD">
        <w:rPr>
          <w:rFonts w:cs="Times New Roman"/>
          <w:i/>
          <w:iCs/>
          <w:lang w:eastAsia="pl-PL"/>
        </w:rPr>
        <w:t xml:space="preserve">;” </w:t>
      </w:r>
      <w:r w:rsidRPr="003118FD">
        <w:rPr>
          <w:rFonts w:cs="Times New Roman"/>
          <w:lang w:eastAsia="pl-PL"/>
        </w:rPr>
        <w:t xml:space="preserve">stanowi o możliwości realizacji celów publicznych w ramach danej funkcji określonej w planie, czyli np. gdy dopuszcza się usługi </w:t>
      </w:r>
      <w:r w:rsidRPr="00102B6F">
        <w:rPr>
          <w:rFonts w:cs="Times New Roman"/>
          <w:lang w:eastAsia="pl-PL"/>
        </w:rPr>
        <w:t>(„UK/MN”,</w:t>
      </w:r>
      <w:r w:rsidRPr="003118FD">
        <w:rPr>
          <w:rFonts w:cs="Times New Roman"/>
          <w:lang w:eastAsia="pl-PL"/>
        </w:rPr>
        <w:t xml:space="preserve"> „MN,U”), oznacza to, że można również zrealizować usługi wynikające </w:t>
      </w:r>
      <w:r w:rsidR="00E1112F">
        <w:rPr>
          <w:rFonts w:cs="Times New Roman"/>
          <w:lang w:eastAsia="pl-PL"/>
        </w:rPr>
        <w:br/>
      </w:r>
      <w:r w:rsidRPr="003118FD">
        <w:rPr>
          <w:rFonts w:cs="Times New Roman"/>
          <w:lang w:eastAsia="pl-PL"/>
        </w:rPr>
        <w:t>z Art. 7 ustawy o samorządzie gminnym, takie jak np.: edukację publiczną; kulturę, w tym biblioteki gminne i inne instytucje kultury oraz ochrony zabytków i opieki nad zabytkami, kultury fizycznej i turystyki, w tym tereny rekreacyjne i urządzenia sportowe.</w:t>
      </w:r>
    </w:p>
    <w:p w14:paraId="338E3D8F" w14:textId="77777777" w:rsidR="0023594D" w:rsidRPr="003118FD" w:rsidRDefault="0023594D" w:rsidP="003118FD">
      <w:pPr>
        <w:pStyle w:val="Standard"/>
        <w:spacing w:line="276" w:lineRule="auto"/>
        <w:ind w:left="1095"/>
        <w:jc w:val="both"/>
        <w:rPr>
          <w:rFonts w:cs="Times New Roman"/>
          <w:sz w:val="22"/>
          <w:szCs w:val="22"/>
          <w:lang w:eastAsia="pl-PL"/>
        </w:rPr>
      </w:pPr>
    </w:p>
    <w:p w14:paraId="72DC52F7" w14:textId="77777777" w:rsidR="0023594D" w:rsidRPr="003118FD" w:rsidRDefault="00D86A66" w:rsidP="003118FD">
      <w:pPr>
        <w:pStyle w:val="Zwykytekst"/>
        <w:spacing w:line="276" w:lineRule="auto"/>
        <w:jc w:val="both"/>
      </w:pPr>
      <w:r w:rsidRPr="003118FD">
        <w:rPr>
          <w:rFonts w:ascii="Times New Roman" w:hAnsi="Times New Roman" w:cs="Times New Roman"/>
          <w:b/>
          <w:bCs/>
          <w:sz w:val="24"/>
          <w:szCs w:val="24"/>
        </w:rPr>
        <w:t>Ad. 5.</w:t>
      </w:r>
    </w:p>
    <w:p w14:paraId="0967BA88" w14:textId="77777777" w:rsidR="0023594D" w:rsidRPr="003118FD" w:rsidRDefault="00D86A66" w:rsidP="003118FD">
      <w:pPr>
        <w:pStyle w:val="Zwykytekst"/>
        <w:spacing w:line="276" w:lineRule="auto"/>
        <w:jc w:val="both"/>
      </w:pPr>
      <w:r w:rsidRPr="003118FD">
        <w:rPr>
          <w:rFonts w:ascii="Times New Roman" w:hAnsi="Times New Roman" w:cs="Times New Roman"/>
          <w:sz w:val="24"/>
          <w:szCs w:val="24"/>
        </w:rPr>
        <w:t xml:space="preserve">Wyjaśnienie na skargę w odniesieniu do dopuszczenia na całym obszarze planu lokalizacji dojazdów, ciągów pieszo-jezdnych, ścieżek rowerowych, ciągów pieszych jako niezgodnego z zasadami przeznaczenia terenów dla dróg, </w:t>
      </w:r>
      <w:r w:rsidRPr="00102B6F">
        <w:rPr>
          <w:rFonts w:ascii="Times New Roman" w:hAnsi="Times New Roman" w:cs="Times New Roman"/>
          <w:sz w:val="24"/>
          <w:szCs w:val="24"/>
        </w:rPr>
        <w:t>a także w sposób trudny do jednoznacznego odczytania.</w:t>
      </w:r>
    </w:p>
    <w:p w14:paraId="6B6B9CFD" w14:textId="77777777" w:rsidR="0023594D" w:rsidRPr="003118FD" w:rsidRDefault="0023594D" w:rsidP="003118FD">
      <w:pPr>
        <w:pStyle w:val="Standard"/>
        <w:ind w:left="1095"/>
        <w:jc w:val="both"/>
        <w:rPr>
          <w:rFonts w:cs="Times New Roman"/>
        </w:rPr>
      </w:pPr>
    </w:p>
    <w:p w14:paraId="1A728ED9" w14:textId="77777777" w:rsidR="0023594D" w:rsidRPr="003118FD" w:rsidRDefault="00D86A66" w:rsidP="003118FD">
      <w:pPr>
        <w:pStyle w:val="Standard"/>
        <w:jc w:val="both"/>
      </w:pPr>
      <w:r w:rsidRPr="003118FD">
        <w:rPr>
          <w:rFonts w:cs="Times New Roman"/>
        </w:rPr>
        <w:t xml:space="preserve">Zgodnie z Rozporządzeniem Ministra Infrastruktury w sprawie wymaganego zakresu projektu miejscowego planu zagospodarowania przestrzennego, w § 13 uchwały planu ustalono zasady modernizacji, rozbudowy i budowy systemów komunikacji oraz obsługi obszaru planu tymi </w:t>
      </w:r>
      <w:r w:rsidRPr="003118FD">
        <w:rPr>
          <w:rFonts w:cs="Times New Roman"/>
        </w:rPr>
        <w:lastRenderedPageBreak/>
        <w:t>systemami dla komunikacji drogowej, kształtowanej w oparciu o następującą klasyfikację:</w:t>
      </w:r>
    </w:p>
    <w:p w14:paraId="37DED4E7" w14:textId="77777777" w:rsidR="0023594D" w:rsidRPr="003118FD" w:rsidRDefault="00D86A66" w:rsidP="003118FD">
      <w:pPr>
        <w:pStyle w:val="Standard"/>
        <w:numPr>
          <w:ilvl w:val="0"/>
          <w:numId w:val="1"/>
        </w:numPr>
        <w:jc w:val="both"/>
      </w:pPr>
      <w:r w:rsidRPr="003118FD">
        <w:rPr>
          <w:rFonts w:cs="Times New Roman"/>
          <w:b/>
        </w:rPr>
        <w:t xml:space="preserve">KDD - </w:t>
      </w:r>
      <w:r w:rsidRPr="003118FD">
        <w:rPr>
          <w:rFonts w:cs="Times New Roman"/>
        </w:rPr>
        <w:t>teren drogi publicznej dojazdowej,</w:t>
      </w:r>
    </w:p>
    <w:p w14:paraId="7A9A72FD" w14:textId="77777777" w:rsidR="0023594D" w:rsidRPr="003118FD" w:rsidRDefault="00D86A66" w:rsidP="003118FD">
      <w:pPr>
        <w:pStyle w:val="Standard"/>
        <w:numPr>
          <w:ilvl w:val="0"/>
          <w:numId w:val="1"/>
        </w:numPr>
        <w:jc w:val="both"/>
      </w:pPr>
      <w:r w:rsidRPr="003118FD">
        <w:rPr>
          <w:rFonts w:cs="Times New Roman"/>
          <w:b/>
        </w:rPr>
        <w:t>KDW</w:t>
      </w:r>
      <w:r w:rsidRPr="003118FD">
        <w:rPr>
          <w:rFonts w:cs="Times New Roman"/>
        </w:rPr>
        <w:t xml:space="preserve"> - teren drogi wewnętrznej,</w:t>
      </w:r>
    </w:p>
    <w:p w14:paraId="123A4248" w14:textId="48F4548E" w:rsidR="0023594D" w:rsidRPr="003118FD" w:rsidRDefault="00D86A66" w:rsidP="003118FD">
      <w:pPr>
        <w:pStyle w:val="Standard"/>
        <w:spacing w:line="276" w:lineRule="auto"/>
        <w:jc w:val="both"/>
        <w:rPr>
          <w:rFonts w:cs="Times New Roman"/>
          <w:lang w:eastAsia="pl-PL"/>
        </w:rPr>
      </w:pPr>
      <w:r w:rsidRPr="003118FD">
        <w:rPr>
          <w:rFonts w:cs="Times New Roman"/>
          <w:lang w:eastAsia="pl-PL"/>
        </w:rPr>
        <w:t xml:space="preserve">Wyznaczone liniami rozgraniczającymi w planie tereny układu dróg publicznych </w:t>
      </w:r>
      <w:r w:rsidR="00E1112F">
        <w:rPr>
          <w:rFonts w:cs="Times New Roman"/>
          <w:lang w:eastAsia="pl-PL"/>
        </w:rPr>
        <w:br/>
      </w:r>
      <w:r w:rsidRPr="003118FD">
        <w:rPr>
          <w:rFonts w:cs="Times New Roman"/>
          <w:lang w:eastAsia="pl-PL"/>
        </w:rPr>
        <w:t>i wewnętrznych mają swój ściśle określony przebieg. W większości jest to kontynuacja istniejącego układu drogowego istotnego dla obsługi całego obszaru planu i w części jest to nowy układ przebiegający po terenach własności gminy Gronowo Elbląskie, niezbędny do obsługi większych fragmentów terenów o różnym przeznaczeniu w planie.</w:t>
      </w:r>
    </w:p>
    <w:p w14:paraId="600D8D0F" w14:textId="7EC3958C" w:rsidR="0023594D" w:rsidRPr="003118FD" w:rsidRDefault="00D86A66" w:rsidP="003118FD">
      <w:pPr>
        <w:pStyle w:val="Standard"/>
        <w:spacing w:line="276" w:lineRule="auto"/>
        <w:jc w:val="both"/>
      </w:pPr>
      <w:r w:rsidRPr="00102B6F">
        <w:rPr>
          <w:rFonts w:cs="Times New Roman"/>
          <w:lang w:eastAsia="pl-PL"/>
        </w:rPr>
        <w:t xml:space="preserve">Dopuszczenie na obszarze planu lokalizacji dojazdów, ciągów pieszo-jezdnych, ścieżek rowerowych, ciągów pieszych, w ramach terenów przeznaczonych w planie dla określonej funkcji, np.: mieszkaniowej, usługowej, itp. stanowi dopełnienie ustaleń w zakresie elementów zagospodarowania planowanego układu drogowego, dojazdu zabezpieczającego dostęp do drogi publicznej, drogi wewnętrznej dla nowo </w:t>
      </w:r>
      <w:r w:rsidR="00E1112F" w:rsidRPr="00102B6F">
        <w:rPr>
          <w:rFonts w:cs="Times New Roman"/>
          <w:lang w:eastAsia="pl-PL"/>
        </w:rPr>
        <w:t>wydzielonych działek</w:t>
      </w:r>
      <w:r w:rsidRPr="00102B6F">
        <w:rPr>
          <w:rFonts w:cs="Times New Roman"/>
          <w:lang w:eastAsia="pl-PL"/>
        </w:rPr>
        <w:t xml:space="preserve"> budowlanych itp. Powyższy zapis jest powszechnie stosowany w planach miejscowych i umożliwia racjonalne zagospodarowanie przestrzeni w sposób w większości nie do przewidzenia na etapie sporządzania planu. Jego zastosowanie nie narusza przepisów prawa, gdyż jest to ustalenie uzupełniające wyznaczony liniami rozgraniczającymi układ komunikacyjny. Zaprojektowanie w planie miejscowym szczegółowej lokalizacji każdego dojazdu, przejścia ścieżki rowerowej lub elementu infrastruktury technicznej stanowiłoby z góry skazaną na niepowodzenie profetyczną próbę zamknięcia przestrzeni w ograniczonej wyobraźni sporządzającego plan, a krótko mówiąc aberrację myśli planistycznej. Konsekwencją, </w:t>
      </w:r>
      <w:r w:rsidR="00E1112F">
        <w:rPr>
          <w:rFonts w:cs="Times New Roman"/>
          <w:lang w:eastAsia="pl-PL"/>
        </w:rPr>
        <w:br/>
      </w:r>
      <w:r w:rsidRPr="00102B6F">
        <w:rPr>
          <w:rFonts w:cs="Times New Roman"/>
          <w:lang w:eastAsia="pl-PL"/>
        </w:rPr>
        <w:t>a zarazem uszczegółowieniem dopuszczenia w/w elementów zagospodarowania w ramach wyznaczonych w planie terenów jest przywołanie przepisów szczegółowych oraz zasad</w:t>
      </w:r>
      <w:r w:rsidRPr="003118FD">
        <w:rPr>
          <w:rFonts w:cs="Times New Roman"/>
          <w:shd w:val="clear" w:color="auto" w:fill="00FF00"/>
          <w:lang w:eastAsia="pl-PL"/>
        </w:rPr>
        <w:t xml:space="preserve"> </w:t>
      </w:r>
      <w:r w:rsidRPr="00102B6F">
        <w:rPr>
          <w:rFonts w:cs="Times New Roman"/>
          <w:lang w:eastAsia="pl-PL"/>
        </w:rPr>
        <w:t>współżycia społecznego jako oczywistego wymogu realizacji rzeczonych zamierzeń inwestycyjnych.</w:t>
      </w:r>
      <w:r w:rsidRPr="003118FD">
        <w:rPr>
          <w:rFonts w:cs="Times New Roman"/>
          <w:lang w:eastAsia="pl-PL"/>
        </w:rPr>
        <w:t xml:space="preserve"> Zasady zagospodarowania tych terenów i ich param</w:t>
      </w:r>
      <w:r w:rsidR="00A52939" w:rsidRPr="003118FD">
        <w:rPr>
          <w:rFonts w:cs="Times New Roman"/>
          <w:lang w:eastAsia="pl-PL"/>
        </w:rPr>
        <w:t>etry, zostały ściśle ustalone w </w:t>
      </w:r>
      <w:r w:rsidRPr="003118FD">
        <w:rPr>
          <w:rFonts w:cs="Times New Roman"/>
          <w:lang w:eastAsia="pl-PL"/>
        </w:rPr>
        <w:t>planie w § 13 pkt 3):</w:t>
      </w:r>
    </w:p>
    <w:p w14:paraId="02E96E8A" w14:textId="77777777" w:rsidR="0023594D" w:rsidRPr="003118FD" w:rsidRDefault="00D86A66" w:rsidP="003118FD">
      <w:pPr>
        <w:pStyle w:val="Standard"/>
        <w:jc w:val="both"/>
      </w:pPr>
      <w:r w:rsidRPr="003118FD">
        <w:rPr>
          <w:rFonts w:cs="Times New Roman"/>
        </w:rPr>
        <w:t>cyt.: „</w:t>
      </w:r>
      <w:r w:rsidRPr="003118FD">
        <w:rPr>
          <w:rFonts w:cs="Times New Roman"/>
          <w:i/>
          <w:iCs/>
        </w:rPr>
        <w:t>na obszarze planu dopuszcza się lokalizację dojazdów, ciągów pieszo-jezdnych, ścieżek rowerowych, ciągów pieszych na następujących zasadach:</w:t>
      </w:r>
    </w:p>
    <w:p w14:paraId="504261CC" w14:textId="77777777" w:rsidR="0023594D" w:rsidRPr="003118FD" w:rsidRDefault="00D86A66" w:rsidP="003118FD">
      <w:pPr>
        <w:pStyle w:val="Standard"/>
        <w:numPr>
          <w:ilvl w:val="2"/>
          <w:numId w:val="1"/>
        </w:numPr>
        <w:jc w:val="both"/>
      </w:pPr>
      <w:r w:rsidRPr="003118FD">
        <w:rPr>
          <w:rFonts w:cs="Times New Roman"/>
          <w:i/>
          <w:iCs/>
        </w:rPr>
        <w:t xml:space="preserve">dojazdy i ciągi </w:t>
      </w:r>
      <w:r w:rsidRPr="003118FD">
        <w:rPr>
          <w:rFonts w:cs="Times New Roman"/>
          <w:i/>
          <w:iCs/>
          <w:lang w:eastAsia="pl-PL"/>
        </w:rPr>
        <w:t>pieszo-jezdne</w:t>
      </w:r>
      <w:r w:rsidRPr="003118FD">
        <w:rPr>
          <w:rFonts w:cs="Times New Roman"/>
          <w:i/>
          <w:iCs/>
        </w:rPr>
        <w:t xml:space="preserve"> do nie więcej niż trzech działek - jak w stanie istniejącym lub o szerokości pasa terenu nie mniejszej niż 5 m, z możliwością lokalizowania infrastruktury oraz bezpośrednią obsługą terenów przyległych,</w:t>
      </w:r>
    </w:p>
    <w:p w14:paraId="1DAEBBC3" w14:textId="77777777" w:rsidR="0023594D" w:rsidRPr="003118FD" w:rsidRDefault="00D86A66" w:rsidP="003118FD">
      <w:pPr>
        <w:pStyle w:val="Standard"/>
        <w:numPr>
          <w:ilvl w:val="2"/>
          <w:numId w:val="1"/>
        </w:numPr>
        <w:jc w:val="both"/>
      </w:pPr>
      <w:r w:rsidRPr="003118FD">
        <w:rPr>
          <w:rFonts w:cs="Times New Roman"/>
          <w:i/>
          <w:iCs/>
        </w:rPr>
        <w:t>dojazdy i ciągi pieszo-jezdne do więcej niż trzech działek - jak w stanie istniejącym lub o szerokości nie mniejszej niż 8 m, a w przypadku braku przelotowości z obowiązkiem realizacji placu do zawracania o minimalnych wymiarach 12,0 m x 12,0 m, z możliwością lokalizowania infrastruktury oraz bezpośrednią obsługą terenów przyległych,</w:t>
      </w:r>
    </w:p>
    <w:p w14:paraId="5365DA7E" w14:textId="77777777" w:rsidR="0023594D" w:rsidRPr="003118FD" w:rsidRDefault="00D86A66" w:rsidP="003118FD">
      <w:pPr>
        <w:pStyle w:val="Standard"/>
        <w:spacing w:line="276" w:lineRule="auto"/>
        <w:jc w:val="both"/>
      </w:pPr>
      <w:r w:rsidRPr="003118FD">
        <w:rPr>
          <w:rFonts w:cs="Times New Roman"/>
          <w:i/>
          <w:iCs/>
          <w:szCs w:val="22"/>
          <w:lang w:eastAsia="pl-PL"/>
        </w:rPr>
        <w:t>c) ścieżki rowerowe o parametrach zgodnych z warunkami technicznymi wynikającymi z przepisów szczegółowych, w tym szerokość ścieżki rowerowej należy ustalać indywidualnie, jeżeli oprócz prowadzenia ruchu rowerowego pełni ona inne funkcje;</w:t>
      </w:r>
      <w:r w:rsidRPr="003118FD">
        <w:rPr>
          <w:rFonts w:cs="Times New Roman"/>
          <w:szCs w:val="22"/>
          <w:lang w:eastAsia="pl-PL"/>
        </w:rPr>
        <w:t>”</w:t>
      </w:r>
    </w:p>
    <w:p w14:paraId="057BE586" w14:textId="77777777" w:rsidR="0023594D" w:rsidRPr="003118FD" w:rsidRDefault="00D86A66" w:rsidP="003118FD">
      <w:pPr>
        <w:pStyle w:val="Standard"/>
        <w:spacing w:line="276" w:lineRule="auto"/>
        <w:jc w:val="both"/>
        <w:rPr>
          <w:rFonts w:cs="Times New Roman"/>
          <w:sz w:val="22"/>
          <w:szCs w:val="22"/>
          <w:shd w:val="clear" w:color="auto" w:fill="00FF00"/>
          <w:lang w:eastAsia="pl-PL"/>
        </w:rPr>
      </w:pPr>
      <w:r w:rsidRPr="00102B6F">
        <w:rPr>
          <w:rFonts w:cs="Times New Roman"/>
          <w:sz w:val="22"/>
          <w:szCs w:val="22"/>
          <w:lang w:eastAsia="pl-PL"/>
        </w:rPr>
        <w:t>oraz §13 pkt 4):</w:t>
      </w:r>
    </w:p>
    <w:p w14:paraId="7D20FFAC" w14:textId="3D250842" w:rsidR="0023594D" w:rsidRPr="003118FD" w:rsidRDefault="00D86A66" w:rsidP="003118FD">
      <w:pPr>
        <w:pStyle w:val="Standard"/>
        <w:spacing w:line="276" w:lineRule="auto"/>
        <w:jc w:val="both"/>
      </w:pPr>
      <w:r w:rsidRPr="00102B6F">
        <w:rPr>
          <w:rFonts w:cs="Times New Roman"/>
          <w:i/>
        </w:rPr>
        <w:t>cyt.: „</w:t>
      </w:r>
      <w:r w:rsidRPr="00102B6F">
        <w:rPr>
          <w:i/>
        </w:rPr>
        <w:t xml:space="preserve">dojazdy, ciągi pieszo-jezdne, ścieżki rowerowe, ciągi piesze, można realizować na </w:t>
      </w:r>
      <w:r w:rsidRPr="007D030B">
        <w:rPr>
          <w:i/>
        </w:rPr>
        <w:t>każdym</w:t>
      </w:r>
      <w:r w:rsidR="007D030B">
        <w:rPr>
          <w:i/>
        </w:rPr>
        <w:t xml:space="preserve"> </w:t>
      </w:r>
      <w:r w:rsidRPr="007D030B">
        <w:rPr>
          <w:i/>
        </w:rPr>
        <w:t>terenie</w:t>
      </w:r>
      <w:r w:rsidRPr="00102B6F">
        <w:rPr>
          <w:i/>
        </w:rPr>
        <w:t>, w sposób zgodny z przepisami szczególnymi i zasadami współżycia społecznego;”</w:t>
      </w:r>
      <w:r w:rsidR="00102B6F">
        <w:rPr>
          <w:i/>
        </w:rPr>
        <w:t>.</w:t>
      </w:r>
    </w:p>
    <w:p w14:paraId="75FD59F3" w14:textId="77777777" w:rsidR="0023594D" w:rsidRPr="003118FD" w:rsidRDefault="0023594D" w:rsidP="003118FD">
      <w:pPr>
        <w:pStyle w:val="Standard"/>
        <w:spacing w:line="276" w:lineRule="auto"/>
        <w:jc w:val="both"/>
        <w:rPr>
          <w:rFonts w:cs="Times New Roman"/>
          <w:sz w:val="22"/>
          <w:szCs w:val="22"/>
          <w:lang w:eastAsia="pl-PL"/>
        </w:rPr>
      </w:pPr>
    </w:p>
    <w:p w14:paraId="1370B1D9" w14:textId="3C1AD8A9" w:rsidR="0023594D" w:rsidRPr="003118FD" w:rsidRDefault="00D86A66" w:rsidP="003118FD">
      <w:pPr>
        <w:pStyle w:val="Standard"/>
        <w:jc w:val="both"/>
      </w:pPr>
      <w:r w:rsidRPr="003118FD">
        <w:rPr>
          <w:rFonts w:cs="Times New Roman"/>
          <w:szCs w:val="22"/>
          <w:lang w:eastAsia="pl-PL"/>
        </w:rPr>
        <w:t xml:space="preserve">Ponadto, zasady dojazdów do odległych gospodarstw rolnych, ustalono za </w:t>
      </w:r>
      <w:r w:rsidR="00E1112F" w:rsidRPr="003118FD">
        <w:rPr>
          <w:rFonts w:cs="Times New Roman"/>
          <w:szCs w:val="22"/>
          <w:lang w:eastAsia="pl-PL"/>
        </w:rPr>
        <w:t>pośrednictwem dróg</w:t>
      </w:r>
      <w:r w:rsidRPr="003118FD">
        <w:rPr>
          <w:rFonts w:cs="Times New Roman"/>
          <w:szCs w:val="22"/>
          <w:lang w:eastAsia="pl-PL"/>
        </w:rPr>
        <w:t xml:space="preserve"> śródpolnych, przebiegających w gruntach rolnych i leśnych, niezaliczonych do żadnej </w:t>
      </w:r>
      <w:r w:rsidR="00E1112F">
        <w:rPr>
          <w:rFonts w:cs="Times New Roman"/>
          <w:szCs w:val="22"/>
          <w:lang w:eastAsia="pl-PL"/>
        </w:rPr>
        <w:br/>
      </w:r>
      <w:r w:rsidRPr="003118FD">
        <w:rPr>
          <w:rFonts w:cs="Times New Roman"/>
          <w:szCs w:val="22"/>
          <w:lang w:eastAsia="pl-PL"/>
        </w:rPr>
        <w:t>z kategorii dróg publicznych i wewnętrznych, pozostających gruntami rolnymi lub leśnymi</w:t>
      </w:r>
      <w:r w:rsidRPr="003118FD">
        <w:rPr>
          <w:rFonts w:cs="Times New Roman"/>
          <w:b/>
          <w:bCs/>
          <w:szCs w:val="22"/>
          <w:lang w:eastAsia="pl-PL"/>
        </w:rPr>
        <w:t>,</w:t>
      </w:r>
      <w:r w:rsidRPr="003118FD">
        <w:rPr>
          <w:rFonts w:cs="Times New Roman"/>
          <w:szCs w:val="22"/>
          <w:lang w:eastAsia="pl-PL"/>
        </w:rPr>
        <w:t xml:space="preserve"> </w:t>
      </w:r>
      <w:r w:rsidRPr="003118FD">
        <w:rPr>
          <w:rFonts w:cs="Times New Roman"/>
          <w:szCs w:val="22"/>
          <w:lang w:eastAsia="pl-PL"/>
        </w:rPr>
        <w:lastRenderedPageBreak/>
        <w:t xml:space="preserve">zgodnie z wyjaśnieniem pojęć użytych w </w:t>
      </w:r>
      <w:r w:rsidR="00E1112F" w:rsidRPr="003118FD">
        <w:rPr>
          <w:rFonts w:cs="Times New Roman"/>
          <w:szCs w:val="22"/>
          <w:lang w:eastAsia="pl-PL"/>
        </w:rPr>
        <w:t>planie zawartym</w:t>
      </w:r>
      <w:r w:rsidRPr="003118FD">
        <w:rPr>
          <w:rFonts w:cs="Times New Roman"/>
          <w:szCs w:val="22"/>
          <w:lang w:eastAsia="pl-PL"/>
        </w:rPr>
        <w:t xml:space="preserve"> § 3 pkt 1) uchwały</w:t>
      </w:r>
      <w:r w:rsidRPr="003118FD">
        <w:rPr>
          <w:rFonts w:cs="Times New Roman"/>
          <w:b/>
          <w:bCs/>
          <w:szCs w:val="22"/>
          <w:lang w:eastAsia="pl-PL"/>
        </w:rPr>
        <w:t>.</w:t>
      </w:r>
    </w:p>
    <w:p w14:paraId="65637AF7" w14:textId="77777777" w:rsidR="0023594D" w:rsidRPr="003118FD" w:rsidRDefault="0023594D" w:rsidP="003118FD">
      <w:pPr>
        <w:pStyle w:val="Standard"/>
        <w:spacing w:line="276" w:lineRule="auto"/>
        <w:ind w:left="1095"/>
        <w:jc w:val="both"/>
        <w:rPr>
          <w:rFonts w:cs="Times New Roman"/>
          <w:sz w:val="22"/>
          <w:szCs w:val="22"/>
          <w:lang w:eastAsia="pl-PL"/>
        </w:rPr>
      </w:pPr>
    </w:p>
    <w:p w14:paraId="34714B38" w14:textId="77777777" w:rsidR="0023594D" w:rsidRPr="003118FD" w:rsidRDefault="00D86A66" w:rsidP="003118FD">
      <w:pPr>
        <w:pStyle w:val="Standard"/>
        <w:jc w:val="both"/>
      </w:pPr>
      <w:r w:rsidRPr="003118FD">
        <w:rPr>
          <w:rFonts w:cs="Times New Roman"/>
          <w:b/>
          <w:bCs/>
          <w:lang w:eastAsia="pl-PL"/>
        </w:rPr>
        <w:t xml:space="preserve">Ad. 6  </w:t>
      </w:r>
    </w:p>
    <w:p w14:paraId="795F75FD" w14:textId="77777777" w:rsidR="0023594D" w:rsidRPr="003118FD" w:rsidRDefault="00D86A66" w:rsidP="003118FD">
      <w:pPr>
        <w:pStyle w:val="Standard"/>
        <w:jc w:val="both"/>
      </w:pPr>
      <w:r w:rsidRPr="003118FD">
        <w:rPr>
          <w:rFonts w:cs="Times New Roman"/>
        </w:rPr>
        <w:t xml:space="preserve">Wyjaśnienie na skargę w odniesieniu do ustaleń w uchwalonym przedmiotowym planie miejscowym w § 11. Szczególne zasady i warunki scalania i podziału nieruchomości w planie w pkt 1), dotyczącym </w:t>
      </w:r>
      <w:r w:rsidRPr="00102B6F">
        <w:rPr>
          <w:rFonts w:cs="Times New Roman"/>
        </w:rPr>
        <w:t xml:space="preserve">braku </w:t>
      </w:r>
      <w:r w:rsidRPr="003118FD">
        <w:rPr>
          <w:rFonts w:cs="Times New Roman"/>
        </w:rPr>
        <w:t>wyznaczenia „granic obszarów wymagających przeprowadzenia procedury scalania i podziału nieruchomości”. Oznacza to, że obowiązek wynikający z art. 15 ust. 2 pkt 8 uopizp nie został pominięty, tylko w trakcie procesu planistycznego stwierdzono, że istniejące zainwestowanie (istniejąca zabudowa, istniejące podziały geodezyjne) nie będą wymagały przeprowadzania procedury wynikającej z art. 102 ustawy o gospodarce nieruchomościami.</w:t>
      </w:r>
    </w:p>
    <w:p w14:paraId="5E3E5229" w14:textId="0597569B" w:rsidR="0023594D" w:rsidRPr="003118FD" w:rsidRDefault="00D86A66" w:rsidP="003118FD">
      <w:pPr>
        <w:pStyle w:val="Standard"/>
        <w:jc w:val="both"/>
      </w:pPr>
      <w:r w:rsidRPr="003118FD">
        <w:rPr>
          <w:rFonts w:cs="Times New Roman"/>
        </w:rPr>
        <w:t xml:space="preserve">Stanowisko to poparte zostało w wyroku Wojewódzkiego Sądu Administracyjnego II SA/Gd 25/15 (II OSK 217/16): </w:t>
      </w:r>
      <w:r w:rsidRPr="003118FD">
        <w:rPr>
          <w:rFonts w:cs="Times New Roman"/>
          <w:i/>
          <w:iCs/>
        </w:rPr>
        <w:t xml:space="preserve">„(…) Przepis art. 15 ust. 2 pkt 8 u.p.z.p. stanowi, że w planie miejscowym określa się obowiązkowo szczegółowe zasady i warunki scalania i podziału nieruchomości objętych tym planem. W doktrynie przyjmuje się, że zarówno z wykładni art. 15 ust. 2 pkt 8 u.p.z.p., jak i z przepisów ustawy z 21 sierpnia 1997 r. o gospodarce nieruchomościami nie wynika, że ustalenie w planie miejscowym szczegółowych zasad </w:t>
      </w:r>
      <w:r w:rsidR="00E1112F">
        <w:rPr>
          <w:rFonts w:cs="Times New Roman"/>
          <w:i/>
          <w:iCs/>
        </w:rPr>
        <w:br/>
      </w:r>
      <w:r w:rsidRPr="003118FD">
        <w:rPr>
          <w:rFonts w:cs="Times New Roman"/>
          <w:i/>
          <w:iCs/>
        </w:rPr>
        <w:t xml:space="preserve">i warunków scalania i podziału nieruchomości objętych tym planem jest obligatoryjne i w ogóle nie ma możliwości odstąpienia od nałożonego w tym przepisie obowiązku, bądź jest obligatoryjne tylko w przypadku wyznaczenia obszarów wymagających przeprowadzania tej procedury zgodnie z art. 15 ust. 3 pkt 1 u.p.z.p. Za słusznością tego poglądu przemawiają bowiem argumenty natury systemowej i celowościowej, a także pragmatycznej (por. A. Plucińska-Filipowicz, A. Kosicki [w:] op.cit., s. 178). W orzecznictwie utrwalone zostało stanowisko, że obowiązek zawarcia w planie miejscowym określonych w nim zagadnień, </w:t>
      </w:r>
      <w:r w:rsidR="00E1112F">
        <w:rPr>
          <w:rFonts w:cs="Times New Roman"/>
          <w:i/>
          <w:iCs/>
        </w:rPr>
        <w:br/>
      </w:r>
      <w:r w:rsidRPr="003118FD">
        <w:rPr>
          <w:rFonts w:cs="Times New Roman"/>
          <w:i/>
          <w:iCs/>
        </w:rPr>
        <w:t>w tym zasad i warunków scalenia i podziału nieruchomości, nie jest bezwzględny w tym sensie, że rada gminy może pominąć określenie ustaleń skatalogowanych w ww. przepisie, ze względu na stan faktyczny obszaru objętego planem. Oznacza to, że unormowania planu w ww. zakresie zamieszcza się tylko w razie zaistnienia w tej mierze potrzeb, gdyż zbędne jest zamieszczanie zapisów dotyczących ograniczeń, które na danym terenie nie są wymagane, lub tym bardziej, w ogóle nie są potrzebne (por. wyrok Wojewódzkiego Sądu Administracyjnego we Wrocławiu z dnia 28 czerwca 2012 r., sygn. akt II SA/Wr 625/11; wyrok Naczelnego Sądu Administracyjnego z dnia 13 stycznia 2012 r., sygn. akt II OSK 2199/2011, dostępne na stronie https://orzeczenia.nsa.gov.pl).</w:t>
      </w:r>
    </w:p>
    <w:p w14:paraId="17E2D46D" w14:textId="14B850A4" w:rsidR="0023594D" w:rsidRPr="003118FD" w:rsidRDefault="00D86A66" w:rsidP="003118FD">
      <w:pPr>
        <w:pStyle w:val="Standard"/>
        <w:jc w:val="both"/>
      </w:pPr>
      <w:r w:rsidRPr="003118FD">
        <w:rPr>
          <w:rFonts w:cs="Times New Roman"/>
          <w:i/>
          <w:iCs/>
          <w:lang w:eastAsia="pl-PL"/>
        </w:rPr>
        <w:t xml:space="preserve">Przy ocenie, czy taka potrzeba oraz konieczność w określonym przypadku zachodzą, należy brać pod uwagę charakterystykę terenu, funkcję i sposób zagospodarowania terenu </w:t>
      </w:r>
      <w:r w:rsidR="00E1112F">
        <w:rPr>
          <w:rFonts w:cs="Times New Roman"/>
          <w:i/>
          <w:iCs/>
          <w:lang w:eastAsia="pl-PL"/>
        </w:rPr>
        <w:br/>
      </w:r>
      <w:r w:rsidRPr="003118FD">
        <w:rPr>
          <w:rFonts w:cs="Times New Roman"/>
          <w:i/>
          <w:iCs/>
          <w:lang w:eastAsia="pl-PL"/>
        </w:rPr>
        <w:t xml:space="preserve">i charakter zabudowy. Jeżeli zatem stan faktyczny obszaru objętego planem nie daje podstaw do zamieszczenia w miejscowym planie zagospodarowania przestrzennego ustaleń, o których mowa w art. 15 ust. 2, ich brak nie może stanowić o jego niezgodności z prawem. Z taką właśnie sytuacją mamy do czynienia w przedmiotowej sprawie, a wyjaśnienia organu w tym zakresie sąd uznał za wystarczające, zwłaszcza w świetle całokształtu koncepcji urbanistycznej, do realizacji której przewidziano postanowienia kwestionowanego planu. Skoro ze względów urbanistycznych i wymogów zachowania ładu przestrzennego nie przewidziano w planie obszarów wymagających scaleń i podziałów to określenie szczegółowych warunków scaleń </w:t>
      </w:r>
      <w:r w:rsidR="00F00900">
        <w:rPr>
          <w:rFonts w:cs="Times New Roman"/>
          <w:i/>
          <w:iCs/>
          <w:lang w:eastAsia="pl-PL"/>
        </w:rPr>
        <w:br/>
      </w:r>
      <w:r w:rsidRPr="003118FD">
        <w:rPr>
          <w:rFonts w:cs="Times New Roman"/>
          <w:i/>
          <w:iCs/>
          <w:lang w:eastAsia="pl-PL"/>
        </w:rPr>
        <w:t>i podziałów było zbyteczne (por. też stanowisko zawarte w wyroku Wojewódzkiego Sądu Administracyjnego w Krakowie z dnia 19 grudnia 2011 r., sygn. akt II SA/Kr 1475/11). (…)”.</w:t>
      </w:r>
    </w:p>
    <w:p w14:paraId="73FC11CB" w14:textId="77777777" w:rsidR="0023594D" w:rsidRPr="003118FD" w:rsidRDefault="0023594D" w:rsidP="003118FD">
      <w:pPr>
        <w:pStyle w:val="Standard"/>
        <w:spacing w:line="276" w:lineRule="auto"/>
        <w:ind w:left="1095"/>
        <w:jc w:val="both"/>
        <w:rPr>
          <w:rFonts w:cs="Times New Roman"/>
          <w:sz w:val="22"/>
          <w:szCs w:val="22"/>
          <w:lang w:eastAsia="pl-PL"/>
        </w:rPr>
      </w:pPr>
    </w:p>
    <w:p w14:paraId="28437B6E" w14:textId="77777777" w:rsidR="0023594D" w:rsidRPr="003118FD" w:rsidRDefault="00D86A66" w:rsidP="003118FD">
      <w:pPr>
        <w:pStyle w:val="Standard"/>
        <w:jc w:val="both"/>
      </w:pPr>
      <w:r w:rsidRPr="003118FD">
        <w:rPr>
          <w:rFonts w:cs="Times New Roman"/>
          <w:b/>
        </w:rPr>
        <w:t>Ad. 7</w:t>
      </w:r>
    </w:p>
    <w:p w14:paraId="3FE2E6FB" w14:textId="7DFA69EF" w:rsidR="0023594D" w:rsidRPr="003118FD" w:rsidRDefault="00D86A66" w:rsidP="003118FD">
      <w:pPr>
        <w:pStyle w:val="Standard"/>
        <w:jc w:val="both"/>
      </w:pPr>
      <w:r w:rsidRPr="003118FD">
        <w:rPr>
          <w:rFonts w:cs="Times New Roman"/>
          <w:lang w:eastAsia="pl-PL"/>
        </w:rPr>
        <w:t xml:space="preserve">Odniesienie do zarzutów odnoszących się do ustaleń  zawartych w uchwalonym planie miejscowym dotyczącym braku pozwolenia na przeznaczenie terenów rolnych na cele nierolnicze i nieleśne, uważa się za </w:t>
      </w:r>
      <w:r w:rsidRPr="00102B6F">
        <w:rPr>
          <w:rFonts w:cs="Times New Roman"/>
          <w:lang w:eastAsia="pl-PL"/>
        </w:rPr>
        <w:t>bezp</w:t>
      </w:r>
      <w:r w:rsidRPr="003118FD">
        <w:rPr>
          <w:rFonts w:cs="Times New Roman"/>
          <w:lang w:eastAsia="pl-PL"/>
        </w:rPr>
        <w:t xml:space="preserve">rzedmiotowe, ze względu na to że nie zaszła </w:t>
      </w:r>
      <w:r w:rsidRPr="003118FD">
        <w:rPr>
          <w:rFonts w:cs="Times New Roman"/>
          <w:lang w:eastAsia="pl-PL"/>
        </w:rPr>
        <w:lastRenderedPageBreak/>
        <w:t>konieczność wynikająca z art. 17 pkt 6 lit. c, czyli „</w:t>
      </w:r>
      <w:r w:rsidRPr="003118FD">
        <w:rPr>
          <w:rFonts w:cs="Times New Roman"/>
          <w:i/>
          <w:iCs/>
          <w:lang w:eastAsia="pl-PL"/>
        </w:rPr>
        <w:t>uzyskania zgody na zmianę przeznaczenia gruntów rolnych i leśnych na cele nierolnicze i nieleśne, jeżeli wymagają tego przepisy odrębne</w:t>
      </w:r>
      <w:r w:rsidRPr="003118FD">
        <w:rPr>
          <w:rFonts w:cs="Times New Roman"/>
          <w:lang w:eastAsia="pl-PL"/>
        </w:rPr>
        <w:t xml:space="preserve">”, ponieważ obowiązujący miejscowy plan zagospodarowania przestrzennego gminy Gronowo Elbląskie (Uchwała Nr XXIII/200/01 Rady Gminy Gronowo Elbląskie z dnia 24 sierpnia 2001 roku) już wcześniej dopuścił funkcje inne, niż rolnicze w terenach oznaczonych symbolem T-9, w § 55 ust. 3 pkt 4, gdzie dopuszczono „w obrębie istniejących zagród i ich otoczenia możliwość wprowadzenia działalności gospodarczej, funkcji mieszkalnych </w:t>
      </w:r>
      <w:r w:rsidR="00E1112F">
        <w:rPr>
          <w:rFonts w:cs="Times New Roman"/>
          <w:lang w:eastAsia="pl-PL"/>
        </w:rPr>
        <w:br/>
      </w:r>
      <w:r w:rsidRPr="003118FD">
        <w:rPr>
          <w:rFonts w:cs="Times New Roman"/>
          <w:lang w:eastAsia="pl-PL"/>
        </w:rPr>
        <w:t>i turystycznych”.</w:t>
      </w:r>
    </w:p>
    <w:p w14:paraId="7EC3F19D" w14:textId="77777777" w:rsidR="0023594D" w:rsidRPr="003118FD" w:rsidRDefault="0023594D" w:rsidP="003118FD">
      <w:pPr>
        <w:pStyle w:val="Standard"/>
        <w:spacing w:line="276" w:lineRule="auto"/>
        <w:ind w:left="1095"/>
        <w:jc w:val="both"/>
        <w:rPr>
          <w:rFonts w:cs="Times New Roman"/>
          <w:sz w:val="22"/>
          <w:szCs w:val="22"/>
          <w:lang w:eastAsia="pl-PL"/>
        </w:rPr>
      </w:pPr>
    </w:p>
    <w:p w14:paraId="3E190A59" w14:textId="77777777" w:rsidR="0023594D" w:rsidRPr="003118FD" w:rsidRDefault="00D86A66" w:rsidP="003118FD">
      <w:pPr>
        <w:pStyle w:val="Standard"/>
        <w:jc w:val="both"/>
        <w:rPr>
          <w:rFonts w:cs="Times New Roman"/>
          <w:szCs w:val="22"/>
          <w:lang w:eastAsia="pl-PL"/>
        </w:rPr>
      </w:pPr>
      <w:r w:rsidRPr="003118FD">
        <w:rPr>
          <w:rFonts w:cs="Times New Roman"/>
          <w:szCs w:val="22"/>
          <w:lang w:eastAsia="pl-PL"/>
        </w:rPr>
        <w:t>Niezależnie od powyższych zastrzeżeń wskazać należy, iż skarga:</w:t>
      </w:r>
    </w:p>
    <w:p w14:paraId="61AECAFA" w14:textId="77777777" w:rsidR="0023594D" w:rsidRPr="003118FD" w:rsidRDefault="00D86A66" w:rsidP="003118FD">
      <w:pPr>
        <w:pStyle w:val="Akapitzlist"/>
        <w:widowControl/>
        <w:suppressAutoHyphens w:val="0"/>
        <w:ind w:left="0"/>
        <w:jc w:val="both"/>
      </w:pPr>
      <w:r w:rsidRPr="003118FD">
        <w:rPr>
          <w:szCs w:val="22"/>
        </w:rPr>
        <w:t>- nie respektuje wyjaśnień dotyczących pojęć użytych w uchwale;</w:t>
      </w:r>
    </w:p>
    <w:p w14:paraId="09ADC013" w14:textId="77777777" w:rsidR="0023594D" w:rsidRPr="003118FD" w:rsidRDefault="00D86A66" w:rsidP="003118FD">
      <w:pPr>
        <w:pStyle w:val="Akapitzlist"/>
        <w:widowControl/>
        <w:suppressAutoHyphens w:val="0"/>
        <w:ind w:left="0"/>
        <w:jc w:val="both"/>
      </w:pPr>
      <w:r w:rsidRPr="003118FD">
        <w:rPr>
          <w:szCs w:val="22"/>
        </w:rPr>
        <w:t>-  odwołuje się do własnych, wadliwych interpretacji przywoływanych przepisów i w podobnie dowolny sposób do orzecznictwa sądów administracyjnych.</w:t>
      </w:r>
    </w:p>
    <w:p w14:paraId="69AE57EA" w14:textId="77777777" w:rsidR="0023594D" w:rsidRPr="003118FD" w:rsidRDefault="0023594D" w:rsidP="003118FD">
      <w:pPr>
        <w:pStyle w:val="Akapitzlist"/>
        <w:widowControl/>
        <w:suppressAutoHyphens w:val="0"/>
        <w:spacing w:line="276" w:lineRule="auto"/>
        <w:ind w:left="1110"/>
        <w:jc w:val="both"/>
        <w:rPr>
          <w:sz w:val="28"/>
        </w:rPr>
      </w:pPr>
    </w:p>
    <w:p w14:paraId="606FA2FE" w14:textId="00970DBB" w:rsidR="0023594D" w:rsidRPr="003118FD" w:rsidRDefault="00D86A66" w:rsidP="003118FD">
      <w:pPr>
        <w:pStyle w:val="Akapitzlist"/>
        <w:widowControl/>
        <w:suppressAutoHyphens w:val="0"/>
        <w:ind w:left="0" w:firstLine="868"/>
        <w:jc w:val="both"/>
      </w:pPr>
      <w:r w:rsidRPr="003118FD">
        <w:rPr>
          <w:szCs w:val="22"/>
        </w:rPr>
        <w:t xml:space="preserve">Wskazując na powyższe podnieść należy, że przekazywana skarga Wojewody Warmińsko-mazurskiego nie wskazuje na takie istotne naruszenia prawa, które mogłyby skutkować stwierdzeniem nieważności uchwały. W szczególności z treści skargi nie wynika, aby uchwała została podjęta przez organ niewłaściwy, że brak podstawy prawnej do podjęcia przedmiotowej uchwały, że niewłaściwie zastosowano przepisy prawne będące podstawa jej podjęcia albo naruszono procedurę jej podjęcia. Jedynie tak określone przesłanki istotnego naruszenia prawa stanowią podstawę oceny (wyrok NSA z dnia 24 marca 1992r. </w:t>
      </w:r>
      <w:r w:rsidR="00E1112F" w:rsidRPr="003118FD">
        <w:rPr>
          <w:szCs w:val="22"/>
        </w:rPr>
        <w:t>Sygn. akt</w:t>
      </w:r>
      <w:r w:rsidRPr="003118FD">
        <w:rPr>
          <w:szCs w:val="22"/>
        </w:rPr>
        <w:t xml:space="preserve"> II Sa/Wr 96/</w:t>
      </w:r>
      <w:r w:rsidR="00E1112F" w:rsidRPr="003118FD">
        <w:rPr>
          <w:szCs w:val="22"/>
        </w:rPr>
        <w:t>92, OSP</w:t>
      </w:r>
      <w:r w:rsidRPr="003118FD">
        <w:rPr>
          <w:szCs w:val="22"/>
        </w:rPr>
        <w:t xml:space="preserve"> z.7-8 z 1993 r poz. 148, wyrok WSA w </w:t>
      </w:r>
      <w:r w:rsidR="00E1112F" w:rsidRPr="003118FD">
        <w:rPr>
          <w:szCs w:val="22"/>
        </w:rPr>
        <w:t>Poznaniu,</w:t>
      </w:r>
      <w:r w:rsidRPr="003118FD">
        <w:rPr>
          <w:szCs w:val="22"/>
        </w:rPr>
        <w:t xml:space="preserve"> sygn. akt IV SA/Po 214/21</w:t>
      </w:r>
      <w:r w:rsidR="00E1112F" w:rsidRPr="003118FD">
        <w:rPr>
          <w:szCs w:val="22"/>
        </w:rPr>
        <w:t>).</w:t>
      </w:r>
    </w:p>
    <w:p w14:paraId="35CCD532" w14:textId="77777777" w:rsidR="0023594D" w:rsidRPr="003118FD" w:rsidRDefault="0023594D" w:rsidP="003118FD">
      <w:pPr>
        <w:pStyle w:val="Akapitzlist"/>
        <w:widowControl/>
        <w:suppressAutoHyphens w:val="0"/>
        <w:spacing w:line="276" w:lineRule="auto"/>
        <w:ind w:left="1110" w:firstLine="870"/>
        <w:jc w:val="both"/>
      </w:pPr>
    </w:p>
    <w:p w14:paraId="0E1BC0B9" w14:textId="77777777" w:rsidR="0023594D" w:rsidRPr="003118FD" w:rsidRDefault="00D86A66" w:rsidP="003118FD">
      <w:pPr>
        <w:pStyle w:val="Akapitzlist"/>
        <w:widowControl/>
        <w:suppressAutoHyphens w:val="0"/>
        <w:spacing w:line="276" w:lineRule="auto"/>
        <w:ind w:left="0" w:firstLine="870"/>
        <w:jc w:val="both"/>
      </w:pPr>
      <w:r w:rsidRPr="003118FD">
        <w:rPr>
          <w:szCs w:val="22"/>
        </w:rPr>
        <w:t>Z powyższych względów uzasadniony jest wniosek postawiony na wstępie.</w:t>
      </w:r>
    </w:p>
    <w:p w14:paraId="59BD3FB7" w14:textId="77777777" w:rsidR="0023594D" w:rsidRPr="003118FD" w:rsidRDefault="0023594D" w:rsidP="003118FD">
      <w:pPr>
        <w:pStyle w:val="Akapitzlist"/>
        <w:widowControl/>
        <w:suppressAutoHyphens w:val="0"/>
        <w:spacing w:line="276" w:lineRule="auto"/>
        <w:ind w:left="1110" w:firstLine="870"/>
        <w:jc w:val="both"/>
      </w:pPr>
    </w:p>
    <w:p w14:paraId="4C422666" w14:textId="77777777" w:rsidR="0023594D" w:rsidRPr="003118FD" w:rsidRDefault="0023594D" w:rsidP="003118FD">
      <w:pPr>
        <w:widowControl/>
        <w:suppressAutoHyphens w:val="0"/>
        <w:spacing w:line="276" w:lineRule="auto"/>
        <w:jc w:val="both"/>
      </w:pPr>
    </w:p>
    <w:p w14:paraId="20C7E582" w14:textId="77777777" w:rsidR="0023594D" w:rsidRPr="003118FD" w:rsidRDefault="00D86A66" w:rsidP="003118FD">
      <w:pPr>
        <w:pStyle w:val="Akapitzlist"/>
        <w:widowControl/>
        <w:suppressAutoHyphens w:val="0"/>
        <w:spacing w:line="276" w:lineRule="auto"/>
        <w:ind w:left="1110" w:firstLine="15"/>
        <w:jc w:val="both"/>
      </w:pPr>
      <w:r w:rsidRPr="003118FD">
        <w:rPr>
          <w:sz w:val="22"/>
          <w:szCs w:val="22"/>
        </w:rPr>
        <w:t>W załączeniu:</w:t>
      </w:r>
    </w:p>
    <w:p w14:paraId="2FBC6686" w14:textId="77777777" w:rsidR="0023594D" w:rsidRPr="003118FD" w:rsidRDefault="00D86A66" w:rsidP="003118FD">
      <w:pPr>
        <w:pStyle w:val="Akapitzlist"/>
        <w:widowControl/>
        <w:numPr>
          <w:ilvl w:val="0"/>
          <w:numId w:val="4"/>
        </w:numPr>
        <w:suppressAutoHyphens w:val="0"/>
        <w:spacing w:line="276" w:lineRule="auto"/>
        <w:ind w:left="1110" w:firstLine="15"/>
        <w:jc w:val="both"/>
      </w:pPr>
      <w:r w:rsidRPr="003118FD">
        <w:rPr>
          <w:sz w:val="22"/>
          <w:szCs w:val="22"/>
        </w:rPr>
        <w:t>odpis pisma</w:t>
      </w:r>
    </w:p>
    <w:p w14:paraId="69B5E24B" w14:textId="77777777" w:rsidR="0023594D" w:rsidRPr="003118FD" w:rsidRDefault="00D86A66" w:rsidP="003118FD">
      <w:pPr>
        <w:pStyle w:val="Akapitzlist"/>
        <w:widowControl/>
        <w:numPr>
          <w:ilvl w:val="0"/>
          <w:numId w:val="4"/>
        </w:numPr>
        <w:suppressAutoHyphens w:val="0"/>
        <w:spacing w:line="276" w:lineRule="auto"/>
        <w:ind w:left="1110" w:firstLine="15"/>
        <w:jc w:val="both"/>
      </w:pPr>
      <w:r w:rsidRPr="003118FD">
        <w:rPr>
          <w:sz w:val="22"/>
          <w:szCs w:val="22"/>
        </w:rPr>
        <w:t xml:space="preserve">akta  </w:t>
      </w:r>
    </w:p>
    <w:sectPr w:rsidR="0023594D" w:rsidRPr="003118FD" w:rsidSect="00E1112F">
      <w:footerReference w:type="default" r:id="rId7"/>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D7AE" w14:textId="77777777" w:rsidR="00D277F4" w:rsidRDefault="00D277F4" w:rsidP="0023594D">
      <w:r>
        <w:separator/>
      </w:r>
    </w:p>
  </w:endnote>
  <w:endnote w:type="continuationSeparator" w:id="0">
    <w:p w14:paraId="228E039B" w14:textId="77777777" w:rsidR="00D277F4" w:rsidRDefault="00D277F4" w:rsidP="002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charset w:val="00"/>
    <w:family w:val="auto"/>
    <w:pitch w:val="variable"/>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4543"/>
      <w:docPartObj>
        <w:docPartGallery w:val="Page Numbers (Bottom of Page)"/>
        <w:docPartUnique/>
      </w:docPartObj>
    </w:sdtPr>
    <w:sdtEndPr/>
    <w:sdtContent>
      <w:p w14:paraId="2C62489C" w14:textId="77777777" w:rsidR="00AC7B74" w:rsidRDefault="00D8419A">
        <w:pPr>
          <w:pStyle w:val="Stopka"/>
          <w:jc w:val="center"/>
        </w:pPr>
        <w:r>
          <w:fldChar w:fldCharType="begin"/>
        </w:r>
        <w:r>
          <w:instrText xml:space="preserve"> PAGE   \* MERGEFORMAT </w:instrText>
        </w:r>
        <w:r>
          <w:fldChar w:fldCharType="separate"/>
        </w:r>
        <w:r w:rsidR="00066ADE">
          <w:rPr>
            <w:noProof/>
          </w:rPr>
          <w:t>1</w:t>
        </w:r>
        <w:r>
          <w:rPr>
            <w:noProof/>
          </w:rPr>
          <w:fldChar w:fldCharType="end"/>
        </w:r>
      </w:p>
    </w:sdtContent>
  </w:sdt>
  <w:p w14:paraId="51885134" w14:textId="77777777" w:rsidR="00AC7B74" w:rsidRDefault="00AC7B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61FE" w14:textId="77777777" w:rsidR="00D277F4" w:rsidRDefault="00D277F4" w:rsidP="0023594D">
      <w:r w:rsidRPr="0023594D">
        <w:rPr>
          <w:color w:val="000000"/>
        </w:rPr>
        <w:separator/>
      </w:r>
    </w:p>
  </w:footnote>
  <w:footnote w:type="continuationSeparator" w:id="0">
    <w:p w14:paraId="5DA787E7" w14:textId="77777777" w:rsidR="00D277F4" w:rsidRDefault="00D277F4" w:rsidP="0023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596B"/>
    <w:multiLevelType w:val="multilevel"/>
    <w:tmpl w:val="289C4DD8"/>
    <w:styleLink w:val="WWNum7"/>
    <w:lvl w:ilvl="0">
      <w:numFmt w:val="bullet"/>
      <w:lvlText w:val=""/>
      <w:lvlJc w:val="left"/>
      <w:rPr>
        <w:rFonts w:ascii="Symbol" w:hAnsi="Symbol"/>
      </w:rPr>
    </w:lvl>
    <w:lvl w:ilvl="1">
      <w:numFmt w:val="bullet"/>
      <w:lvlText w:val="-"/>
      <w:lvlJc w:val="left"/>
    </w:lvl>
    <w:lvl w:ilvl="2">
      <w:start w:val="1"/>
      <w:numFmt w:val="lowerLetter"/>
      <w:lvlText w:val="%1.%2.%3)"/>
      <w:lvlJc w:val="left"/>
      <w:rPr>
        <w:rFonts w:eastAsia="Calibri" w:cs="Times New Roman"/>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44EB4013"/>
    <w:multiLevelType w:val="multilevel"/>
    <w:tmpl w:val="C53C0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4BD57919"/>
    <w:multiLevelType w:val="multilevel"/>
    <w:tmpl w:val="17AA15BE"/>
    <w:styleLink w:val="WWNum85"/>
    <w:lvl w:ilvl="0">
      <w:start w:val="1"/>
      <w:numFmt w:val="decimal"/>
      <w:lvlText w:val="%1)"/>
      <w:lvlJc w:val="left"/>
      <w:rPr>
        <w:rFonts w:cs="F"/>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5CE87FE8"/>
    <w:multiLevelType w:val="multilevel"/>
    <w:tmpl w:val="992EE780"/>
    <w:styleLink w:val="WWNum12"/>
    <w:lvl w:ilvl="0">
      <w:start w:val="2"/>
      <w:numFmt w:val="decimal"/>
      <w:lvlText w:val="%1."/>
      <w:lvlJc w:val="left"/>
      <w:rPr>
        <w:b/>
        <w:i w:val="0"/>
      </w:rPr>
    </w:lvl>
    <w:lvl w:ilvl="1">
      <w:start w:val="1"/>
      <w:numFmt w:val="decimal"/>
      <w:lvlText w:val="%2)"/>
      <w:lvlJc w:val="left"/>
      <w:rPr>
        <w:b w:val="0"/>
      </w:rPr>
    </w:lvl>
    <w:lvl w:ilvl="2">
      <w:start w:val="1"/>
      <w:numFmt w:val="lowerLetter"/>
      <w:lvlText w:val="%1.%2.%3)"/>
      <w:lvlJc w:val="left"/>
      <w:rPr>
        <w:rFonts w:eastAsia="Arial" w:cs="Times New Roman"/>
        <w:b w:val="0"/>
      </w:rPr>
    </w:lvl>
    <w:lvl w:ilvl="3">
      <w:numFmt w:val="bullet"/>
      <w:lvlText w:val=""/>
      <w:lvlJc w:val="left"/>
      <w:rPr>
        <w:rFonts w:ascii="Symbol" w:hAnsi="Symbol"/>
      </w:rPr>
    </w:lvl>
    <w:lvl w:ilvl="4">
      <w:numFmt w:val="bullet"/>
      <w:lvlText w:val="-"/>
      <w:lvlJc w:val="left"/>
    </w:lvl>
    <w:lvl w:ilvl="5">
      <w:start w:val="1"/>
      <w:numFmt w:val="decimal"/>
      <w:lvlText w:val="%1.%2.%3.%4.%5.%6."/>
      <w:lvlJc w:val="left"/>
      <w:rPr>
        <w:rFonts w:eastAsia="Times New Roman"/>
      </w:rPr>
    </w:lvl>
    <w:lvl w:ilvl="6">
      <w:start w:val="1"/>
      <w:numFmt w:val="decimal"/>
      <w:lvlText w:val="%1.%2.%3.%4.%5.%6.%7."/>
      <w:lvlJc w:val="left"/>
      <w:rPr>
        <w:rFonts w:eastAsia="Times New Roman"/>
      </w:rPr>
    </w:lvl>
    <w:lvl w:ilvl="7">
      <w:start w:val="1"/>
      <w:numFmt w:val="decimal"/>
      <w:lvlText w:val="%1.%2.%3.%4.%5.%6.%7.%8."/>
      <w:lvlJc w:val="left"/>
      <w:rPr>
        <w:rFonts w:eastAsia="Times New Roman"/>
      </w:rPr>
    </w:lvl>
    <w:lvl w:ilvl="8">
      <w:start w:val="1"/>
      <w:numFmt w:val="decimal"/>
      <w:lvlText w:val="%1.%2.%3.%4.%5.%6.%7.%8.%9."/>
      <w:lvlJc w:val="left"/>
      <w:rPr>
        <w:rFonts w:eastAsia="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4D"/>
    <w:rsid w:val="00033387"/>
    <w:rsid w:val="00066ADE"/>
    <w:rsid w:val="00102B6F"/>
    <w:rsid w:val="001911DE"/>
    <w:rsid w:val="0023594D"/>
    <w:rsid w:val="003118FD"/>
    <w:rsid w:val="0036696B"/>
    <w:rsid w:val="005A7E3A"/>
    <w:rsid w:val="006119E9"/>
    <w:rsid w:val="00743241"/>
    <w:rsid w:val="007D030B"/>
    <w:rsid w:val="00802BA3"/>
    <w:rsid w:val="00A52939"/>
    <w:rsid w:val="00AC7B74"/>
    <w:rsid w:val="00C5215B"/>
    <w:rsid w:val="00CE173C"/>
    <w:rsid w:val="00D277F4"/>
    <w:rsid w:val="00D27BDE"/>
    <w:rsid w:val="00D8419A"/>
    <w:rsid w:val="00D86A66"/>
    <w:rsid w:val="00E1112F"/>
    <w:rsid w:val="00F00900"/>
    <w:rsid w:val="00F27A10"/>
    <w:rsid w:val="00F31237"/>
    <w:rsid w:val="00FE1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DA26"/>
  <w15:docId w15:val="{9410F999-7EC0-4410-AFBD-78AC8F76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3594D"/>
    <w:pPr>
      <w:suppressAutoHyphens/>
    </w:pPr>
  </w:style>
  <w:style w:type="paragraph" w:styleId="Nagwek3">
    <w:name w:val="heading 3"/>
    <w:basedOn w:val="Standard"/>
    <w:next w:val="Textbody"/>
    <w:rsid w:val="0023594D"/>
    <w:pPr>
      <w:keepNext/>
      <w:keepLines/>
      <w:spacing w:before="200"/>
      <w:outlineLvl w:val="2"/>
    </w:pPr>
    <w:rPr>
      <w:rFonts w:ascii="Cambria" w:hAnsi="Cambria" w:cs="F"/>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594D"/>
    <w:pPr>
      <w:suppressAutoHyphens/>
    </w:pPr>
  </w:style>
  <w:style w:type="paragraph" w:customStyle="1" w:styleId="Heading">
    <w:name w:val="Heading"/>
    <w:basedOn w:val="Standard"/>
    <w:next w:val="Textbody"/>
    <w:rsid w:val="0023594D"/>
    <w:pPr>
      <w:keepNext/>
      <w:spacing w:before="240" w:after="120"/>
    </w:pPr>
    <w:rPr>
      <w:rFonts w:ascii="Arial" w:eastAsia="Microsoft YaHei" w:hAnsi="Arial"/>
      <w:sz w:val="28"/>
      <w:szCs w:val="28"/>
    </w:rPr>
  </w:style>
  <w:style w:type="paragraph" w:customStyle="1" w:styleId="Textbody">
    <w:name w:val="Text body"/>
    <w:basedOn w:val="Standard"/>
    <w:rsid w:val="0023594D"/>
    <w:pPr>
      <w:spacing w:after="120"/>
    </w:pPr>
  </w:style>
  <w:style w:type="paragraph" w:styleId="Lista">
    <w:name w:val="List"/>
    <w:basedOn w:val="Textbody"/>
    <w:rsid w:val="0023594D"/>
  </w:style>
  <w:style w:type="paragraph" w:styleId="Legenda">
    <w:name w:val="caption"/>
    <w:basedOn w:val="Standard"/>
    <w:rsid w:val="0023594D"/>
    <w:pPr>
      <w:suppressLineNumbers/>
      <w:spacing w:before="120" w:after="120"/>
    </w:pPr>
    <w:rPr>
      <w:i/>
      <w:iCs/>
    </w:rPr>
  </w:style>
  <w:style w:type="paragraph" w:customStyle="1" w:styleId="Index">
    <w:name w:val="Index"/>
    <w:basedOn w:val="Standard"/>
    <w:rsid w:val="0023594D"/>
    <w:pPr>
      <w:suppressLineNumbers/>
    </w:pPr>
  </w:style>
  <w:style w:type="paragraph" w:styleId="Zwykytekst">
    <w:name w:val="Plain Text"/>
    <w:basedOn w:val="Standard"/>
    <w:rsid w:val="0023594D"/>
    <w:rPr>
      <w:rFonts w:ascii="Consolas" w:hAnsi="Consolas" w:cs="F"/>
      <w:sz w:val="21"/>
      <w:szCs w:val="21"/>
    </w:rPr>
  </w:style>
  <w:style w:type="paragraph" w:styleId="Akapitzlist">
    <w:name w:val="List Paragraph"/>
    <w:basedOn w:val="Standard"/>
    <w:rsid w:val="0023594D"/>
    <w:pPr>
      <w:ind w:left="720"/>
    </w:pPr>
    <w:rPr>
      <w:rFonts w:eastAsia="Arial Unicode MS" w:cs="Times New Roman"/>
      <w:lang w:eastAsia="pl-PL"/>
    </w:rPr>
  </w:style>
  <w:style w:type="character" w:customStyle="1" w:styleId="NumberingSymbols">
    <w:name w:val="Numbering Symbols"/>
    <w:rsid w:val="0023594D"/>
  </w:style>
  <w:style w:type="character" w:customStyle="1" w:styleId="ListLabel7">
    <w:name w:val="ListLabel 7"/>
    <w:rsid w:val="0023594D"/>
    <w:rPr>
      <w:rFonts w:eastAsia="Calibri" w:cs="Times New Roman"/>
    </w:rPr>
  </w:style>
  <w:style w:type="character" w:customStyle="1" w:styleId="ListLabel8">
    <w:name w:val="ListLabel 8"/>
    <w:rsid w:val="0023594D"/>
    <w:rPr>
      <w:rFonts w:cs="Courier New"/>
    </w:rPr>
  </w:style>
  <w:style w:type="character" w:customStyle="1" w:styleId="ListLabel9">
    <w:name w:val="ListLabel 9"/>
    <w:rsid w:val="0023594D"/>
    <w:rPr>
      <w:b/>
      <w:i w:val="0"/>
    </w:rPr>
  </w:style>
  <w:style w:type="character" w:customStyle="1" w:styleId="ListLabel2">
    <w:name w:val="ListLabel 2"/>
    <w:rsid w:val="0023594D"/>
    <w:rPr>
      <w:b w:val="0"/>
    </w:rPr>
  </w:style>
  <w:style w:type="character" w:customStyle="1" w:styleId="ListLabel10">
    <w:name w:val="ListLabel 10"/>
    <w:rsid w:val="0023594D"/>
    <w:rPr>
      <w:rFonts w:eastAsia="Arial" w:cs="Times New Roman"/>
      <w:b w:val="0"/>
    </w:rPr>
  </w:style>
  <w:style w:type="character" w:customStyle="1" w:styleId="ListLabel4">
    <w:name w:val="ListLabel 4"/>
    <w:rsid w:val="0023594D"/>
    <w:rPr>
      <w:rFonts w:eastAsia="Times New Roman"/>
    </w:rPr>
  </w:style>
  <w:style w:type="character" w:customStyle="1" w:styleId="ListLabel16">
    <w:name w:val="ListLabel 16"/>
    <w:rsid w:val="0023594D"/>
    <w:rPr>
      <w:rFonts w:cs="F"/>
    </w:rPr>
  </w:style>
  <w:style w:type="paragraph" w:styleId="Tekstdymka">
    <w:name w:val="Balloon Text"/>
    <w:basedOn w:val="Normalny"/>
    <w:rsid w:val="0023594D"/>
    <w:rPr>
      <w:rFonts w:ascii="Tahoma" w:hAnsi="Tahoma" w:cs="Mangal"/>
      <w:sz w:val="16"/>
      <w:szCs w:val="14"/>
    </w:rPr>
  </w:style>
  <w:style w:type="character" w:customStyle="1" w:styleId="TekstdymkaZnak">
    <w:name w:val="Tekst dymka Znak"/>
    <w:basedOn w:val="Domylnaczcionkaakapitu"/>
    <w:rsid w:val="0023594D"/>
    <w:rPr>
      <w:rFonts w:ascii="Tahoma" w:hAnsi="Tahoma" w:cs="Mangal"/>
      <w:sz w:val="16"/>
      <w:szCs w:val="14"/>
    </w:rPr>
  </w:style>
  <w:style w:type="numbering" w:customStyle="1" w:styleId="WWNum7">
    <w:name w:val="WWNum7"/>
    <w:basedOn w:val="Bezlisty"/>
    <w:rsid w:val="0023594D"/>
    <w:pPr>
      <w:numPr>
        <w:numId w:val="1"/>
      </w:numPr>
    </w:pPr>
  </w:style>
  <w:style w:type="numbering" w:customStyle="1" w:styleId="WWNum12">
    <w:name w:val="WWNum12"/>
    <w:basedOn w:val="Bezlisty"/>
    <w:rsid w:val="0023594D"/>
    <w:pPr>
      <w:numPr>
        <w:numId w:val="2"/>
      </w:numPr>
    </w:pPr>
  </w:style>
  <w:style w:type="numbering" w:customStyle="1" w:styleId="WWNum85">
    <w:name w:val="WWNum85"/>
    <w:basedOn w:val="Bezlisty"/>
    <w:rsid w:val="0023594D"/>
    <w:pPr>
      <w:numPr>
        <w:numId w:val="3"/>
      </w:numPr>
    </w:pPr>
  </w:style>
  <w:style w:type="paragraph" w:styleId="Nagwek">
    <w:name w:val="header"/>
    <w:basedOn w:val="Normalny"/>
    <w:link w:val="NagwekZnak"/>
    <w:uiPriority w:val="99"/>
    <w:unhideWhenUsed/>
    <w:rsid w:val="00AC7B74"/>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C7B74"/>
    <w:rPr>
      <w:rFonts w:cs="Mangal"/>
      <w:szCs w:val="21"/>
    </w:rPr>
  </w:style>
  <w:style w:type="paragraph" w:styleId="Stopka">
    <w:name w:val="footer"/>
    <w:basedOn w:val="Normalny"/>
    <w:link w:val="StopkaZnak"/>
    <w:uiPriority w:val="99"/>
    <w:unhideWhenUsed/>
    <w:rsid w:val="00AC7B7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C7B7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52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4015</Words>
  <Characters>24093</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 rad</dc:creator>
  <cp:lastModifiedBy>Magdalena Nazaruk</cp:lastModifiedBy>
  <cp:revision>5</cp:revision>
  <cp:lastPrinted>2021-09-28T08:08:00Z</cp:lastPrinted>
  <dcterms:created xsi:type="dcterms:W3CDTF">2021-09-28T07:40:00Z</dcterms:created>
  <dcterms:modified xsi:type="dcterms:W3CDTF">2021-09-28T08:19:00Z</dcterms:modified>
</cp:coreProperties>
</file>