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FB2072" w:rsidRDefault="006D2E8F" w:rsidP="00A075E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FB2072" w:rsidRDefault="005B5EC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ZAMÓWIENIA PUBLICZNE, gospodarka wodna i </w:t>
            </w:r>
            <w:r w:rsidR="00F07905" w:rsidRPr="00FB2072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366" w:type="dxa"/>
            <w:vAlign w:val="center"/>
          </w:tcPr>
          <w:p w14:paraId="5665F51D" w14:textId="25481817" w:rsidR="004F778F" w:rsidRPr="00FB2072" w:rsidRDefault="00C41ED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KIEROWNIK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ZESPOŁU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DS</w:t>
            </w:r>
            <w:r w:rsidR="004F778F" w:rsidRPr="00FB2072">
              <w:rPr>
                <w:sz w:val="22"/>
                <w:szCs w:val="22"/>
              </w:rPr>
              <w:t xml:space="preserve">. </w:t>
            </w:r>
            <w:r w:rsidRPr="00FB2072">
              <w:rPr>
                <w:sz w:val="22"/>
                <w:szCs w:val="22"/>
              </w:rPr>
              <w:t>ROZWOJU GOSPODARCZEGO, budownictwo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OCHRONA ŚRODOWISKA,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5FD304AD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ZAGOSPODAROWANIE PRZESTRZENNE,  </w:t>
            </w:r>
            <w:r w:rsidRPr="00FB2072">
              <w:rPr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24766885" w:rsidR="004C7812" w:rsidRPr="00FB2072" w:rsidRDefault="00FB207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DROGOWNICTWO, zwierzęta, usterki komunalne </w:t>
            </w:r>
            <w:r w:rsidR="004C7812" w:rsidRPr="00FB2072">
              <w:rPr>
                <w:sz w:val="22"/>
                <w:szCs w:val="22"/>
              </w:rPr>
              <w:t>wycinka drzew, 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0C330F49" w:rsidR="004C7812" w:rsidRPr="008D620A" w:rsidRDefault="003E6B94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7F562E8D" w:rsidR="004C7812" w:rsidRPr="004E649B" w:rsidRDefault="003805CB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Frontczak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SEKRETARIAT,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RADA GMINY,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SEKRETARZ</w:t>
            </w:r>
            <w:r w:rsidR="00BF4C9C" w:rsidRPr="00FB2072">
              <w:rPr>
                <w:sz w:val="22"/>
                <w:szCs w:val="22"/>
              </w:rPr>
              <w:t>, 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KADRY,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F23C75D" w:rsidR="000D4015" w:rsidRPr="00FB2072" w:rsidRDefault="00FB2072" w:rsidP="004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spotkań </w:t>
            </w: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UMORZENIA/ODROCZENIA,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WINDYKACJA OPŁAT LOKALNYCH I ODPADÓW KOMUNALNYCH,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WYMIAR PODATKÓW OD OS. FIZYCZNYCH,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Myśliwa-Gorząch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BUDŻETOWA,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7F4FBF19" w:rsidR="004C7812" w:rsidRPr="004E649B" w:rsidRDefault="00230693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Monika Waszczyszyn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Załucka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KASA, 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PŁACE URZĘDU I PLACÓWEK OŚWIATOWYCH, 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87B97"/>
    <w:rsid w:val="000C5558"/>
    <w:rsid w:val="000D4015"/>
    <w:rsid w:val="000F7205"/>
    <w:rsid w:val="00130FBE"/>
    <w:rsid w:val="001B070F"/>
    <w:rsid w:val="00230693"/>
    <w:rsid w:val="00243320"/>
    <w:rsid w:val="00255321"/>
    <w:rsid w:val="00313DAD"/>
    <w:rsid w:val="0033675D"/>
    <w:rsid w:val="003805CB"/>
    <w:rsid w:val="003E6B94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57B8D"/>
    <w:rsid w:val="006A4B7C"/>
    <w:rsid w:val="006D2E8F"/>
    <w:rsid w:val="006E48D2"/>
    <w:rsid w:val="007D6CBB"/>
    <w:rsid w:val="0083431F"/>
    <w:rsid w:val="008470A9"/>
    <w:rsid w:val="008705F5"/>
    <w:rsid w:val="00874C87"/>
    <w:rsid w:val="008A079A"/>
    <w:rsid w:val="008D620A"/>
    <w:rsid w:val="008E4FC9"/>
    <w:rsid w:val="0093137B"/>
    <w:rsid w:val="00A8443F"/>
    <w:rsid w:val="00AE27DB"/>
    <w:rsid w:val="00B17A8A"/>
    <w:rsid w:val="00BF4C9C"/>
    <w:rsid w:val="00C41ED4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B2072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28</cp:revision>
  <cp:lastPrinted>2022-05-12T09:35:00Z</cp:lastPrinted>
  <dcterms:created xsi:type="dcterms:W3CDTF">2021-01-25T07:23:00Z</dcterms:created>
  <dcterms:modified xsi:type="dcterms:W3CDTF">2025-08-25T05:59:00Z</dcterms:modified>
</cp:coreProperties>
</file>